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E" w:rsidRDefault="00627CAE" w:rsidP="00351453">
      <w:pPr>
        <w:spacing w:after="0" w:line="360" w:lineRule="auto"/>
        <w:jc w:val="both"/>
        <w:rPr>
          <w:rFonts w:ascii="Palatino Linotype" w:hAnsi="Palatino Linotype" w:cs="Arial"/>
          <w:b/>
          <w:sz w:val="24"/>
          <w:szCs w:val="24"/>
        </w:rPr>
      </w:pPr>
      <w:bookmarkStart w:id="0" w:name="_GoBack"/>
      <w:bookmarkEnd w:id="0"/>
      <w:r w:rsidRPr="0037358E">
        <w:rPr>
          <w:rFonts w:ascii="Palatino Linotype" w:hAnsi="Palatino Linotype" w:cs="Arial"/>
          <w:b/>
          <w:sz w:val="24"/>
          <w:szCs w:val="24"/>
        </w:rPr>
        <w:t xml:space="preserve">VOTO PARTICULAR DEL COMISIONADO JOSÉ GUADALUPE LUNA HERNÁNDEZ EN EL RECURSO DE REVISIÓN </w:t>
      </w:r>
      <w:r w:rsidR="00F8011C">
        <w:rPr>
          <w:rFonts w:ascii="Palatino Linotype" w:hAnsi="Palatino Linotype" w:cs="Arial"/>
          <w:b/>
          <w:sz w:val="24"/>
          <w:szCs w:val="24"/>
        </w:rPr>
        <w:t>00112/INFOEM/IP/RR/2019</w:t>
      </w:r>
      <w:r w:rsidRPr="0037358E">
        <w:rPr>
          <w:rFonts w:ascii="Palatino Linotype" w:hAnsi="Palatino Linotype" w:cs="Arial"/>
          <w:b/>
          <w:sz w:val="24"/>
          <w:szCs w:val="24"/>
        </w:rPr>
        <w:t>.</w:t>
      </w:r>
    </w:p>
    <w:p w:rsidR="0009550C" w:rsidRDefault="0009550C" w:rsidP="00351453">
      <w:pPr>
        <w:spacing w:after="0" w:line="360" w:lineRule="auto"/>
        <w:jc w:val="both"/>
        <w:rPr>
          <w:rFonts w:ascii="Palatino Linotype" w:hAnsi="Palatino Linotype" w:cs="Arial"/>
          <w:b/>
          <w:sz w:val="24"/>
          <w:szCs w:val="24"/>
        </w:rPr>
      </w:pPr>
    </w:p>
    <w:p w:rsidR="00627CAE" w:rsidRPr="0037358E" w:rsidRDefault="00627CAE" w:rsidP="00351453">
      <w:pPr>
        <w:spacing w:after="0" w:line="360" w:lineRule="auto"/>
        <w:jc w:val="both"/>
        <w:rPr>
          <w:rFonts w:ascii="Palatino Linotype" w:hAnsi="Palatino Linotype" w:cs="Arial"/>
          <w:sz w:val="24"/>
          <w:szCs w:val="24"/>
        </w:rPr>
      </w:pPr>
      <w:r w:rsidRPr="0037358E">
        <w:rPr>
          <w:rFonts w:ascii="Palatino Linotype" w:hAnsi="Palatino Linotype" w:cs="Arial"/>
          <w:sz w:val="24"/>
          <w:szCs w:val="24"/>
        </w:rPr>
        <w:t xml:space="preserve">El diseño constitucional y la fuerza de nuestras resoluciones </w:t>
      </w:r>
      <w:r>
        <w:rPr>
          <w:rFonts w:ascii="Palatino Linotype" w:hAnsi="Palatino Linotype" w:cs="Arial"/>
          <w:sz w:val="24"/>
          <w:szCs w:val="24"/>
        </w:rPr>
        <w:t>permiten</w:t>
      </w:r>
      <w:r w:rsidRPr="0037358E">
        <w:rPr>
          <w:rFonts w:ascii="Palatino Linotype" w:hAnsi="Palatino Linotype" w:cs="Arial"/>
          <w:sz w:val="24"/>
          <w:szCs w:val="24"/>
        </w:rPr>
        <w:t xml:space="preserve"> que el Estado Mexicano cumpla con sus compromisos internacionales estableciendo un procedimiento expedito, sencillo y efectivo para reparar las posibles afectaciones al derecho humano de a</w:t>
      </w:r>
      <w:r w:rsidR="00F22581">
        <w:rPr>
          <w:rFonts w:ascii="Palatino Linotype" w:hAnsi="Palatino Linotype" w:cs="Arial"/>
          <w:sz w:val="24"/>
          <w:szCs w:val="24"/>
        </w:rPr>
        <w:t>cceso a la información pública.</w:t>
      </w:r>
    </w:p>
    <w:p w:rsidR="00627CAE" w:rsidRDefault="00627CAE" w:rsidP="00351453">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Las personas físicas y morales, a pes</w:t>
      </w:r>
      <w:r w:rsidR="00F8011C">
        <w:rPr>
          <w:rFonts w:ascii="Palatino Linotype" w:hAnsi="Palatino Linotype" w:cs="Arial"/>
          <w:color w:val="000000" w:themeColor="text1"/>
          <w:sz w:val="24"/>
          <w:szCs w:val="24"/>
          <w:lang w:val="es-ES"/>
        </w:rPr>
        <w:t>ar de adquirir la condición de Sujetos O</w:t>
      </w:r>
      <w:r w:rsidRPr="0037358E">
        <w:rPr>
          <w:rFonts w:ascii="Palatino Linotype" w:hAnsi="Palatino Linotype" w:cs="Arial"/>
          <w:color w:val="000000" w:themeColor="text1"/>
          <w:sz w:val="24"/>
          <w:szCs w:val="24"/>
          <w:lang w:val="es-ES"/>
        </w:rPr>
        <w:t xml:space="preserve">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627CAE" w:rsidRPr="0037358E" w:rsidRDefault="00627CAE"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 interpretación conforme, de la disposición sospechosa de inconstitucionalidad e inconvencionalidad, que se propone, encuentra mayor respaldo al armonizarse, además, con el texto de los artículos 158 de la Ley General y 196 de la Ley de 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w:t>
      </w:r>
    </w:p>
    <w:p w:rsidR="00DC11A3" w:rsidRPr="00C65F6A" w:rsidRDefault="00DC11A3" w:rsidP="00C65F6A">
      <w:pPr>
        <w:spacing w:after="0" w:line="360" w:lineRule="auto"/>
        <w:jc w:val="center"/>
        <w:rPr>
          <w:rFonts w:ascii="Palatino Linotype" w:eastAsia="Times New Roman" w:hAnsi="Palatino Linotype" w:cs="Arial"/>
          <w:b/>
          <w:sz w:val="24"/>
          <w:szCs w:val="24"/>
          <w:lang w:val="es-ES" w:eastAsia="es-ES"/>
        </w:rPr>
      </w:pPr>
      <w:r w:rsidRPr="00C65F6A">
        <w:rPr>
          <w:rFonts w:ascii="Palatino Linotype" w:eastAsia="Times New Roman" w:hAnsi="Palatino Linotype" w:cs="Arial"/>
          <w:b/>
          <w:sz w:val="24"/>
          <w:szCs w:val="24"/>
          <w:lang w:val="es-ES" w:eastAsia="es-ES"/>
        </w:rPr>
        <w:lastRenderedPageBreak/>
        <w:t>INDICE</w:t>
      </w:r>
    </w:p>
    <w:sdt>
      <w:sdtPr>
        <w:rPr>
          <w:rFonts w:asciiTheme="minorHAnsi" w:eastAsiaTheme="minorHAnsi" w:hAnsiTheme="minorHAnsi" w:cstheme="minorBidi"/>
          <w:color w:val="auto"/>
          <w:sz w:val="22"/>
          <w:szCs w:val="22"/>
          <w:lang w:val="es-ES" w:eastAsia="en-US"/>
        </w:rPr>
        <w:id w:val="-248270497"/>
        <w:docPartObj>
          <w:docPartGallery w:val="Table of Contents"/>
          <w:docPartUnique/>
        </w:docPartObj>
      </w:sdtPr>
      <w:sdtEndPr>
        <w:rPr>
          <w:b/>
          <w:bCs/>
        </w:rPr>
      </w:sdtEndPr>
      <w:sdtContent>
        <w:p w:rsidR="00C65F6A" w:rsidRPr="00C65F6A" w:rsidRDefault="00C65F6A" w:rsidP="00C65F6A">
          <w:pPr>
            <w:pStyle w:val="TtulodeTDC"/>
            <w:rPr>
              <w:rFonts w:ascii="Palatino Linotype" w:hAnsi="Palatino Linotype"/>
              <w:b/>
              <w:color w:val="auto"/>
              <w:sz w:val="24"/>
              <w:lang w:val="es-ES"/>
            </w:rPr>
          </w:pPr>
        </w:p>
        <w:p w:rsidR="00C65F6A" w:rsidRPr="00C65F6A" w:rsidRDefault="00DC11A3">
          <w:pPr>
            <w:pStyle w:val="TDC1"/>
            <w:tabs>
              <w:tab w:val="left" w:pos="440"/>
              <w:tab w:val="right" w:leader="dot" w:pos="8828"/>
            </w:tabs>
            <w:rPr>
              <w:rFonts w:ascii="Palatino Linotype" w:eastAsiaTheme="minorEastAsia" w:hAnsi="Palatino Linotype"/>
              <w:noProof/>
              <w:sz w:val="24"/>
              <w:szCs w:val="24"/>
              <w:lang w:eastAsia="es-MX"/>
            </w:rPr>
          </w:pPr>
          <w:r>
            <w:rPr>
              <w:rFonts w:eastAsiaTheme="minorEastAsia"/>
              <w:sz w:val="24"/>
              <w:szCs w:val="24"/>
              <w:lang w:val="es-ES_tradnl" w:eastAsia="es-ES"/>
            </w:rPr>
            <w:fldChar w:fldCharType="begin"/>
          </w:r>
          <w:r>
            <w:instrText xml:space="preserve"> TOC \o "1-3" \h \z \u </w:instrText>
          </w:r>
          <w:r>
            <w:rPr>
              <w:rFonts w:eastAsiaTheme="minorEastAsia"/>
              <w:sz w:val="24"/>
              <w:szCs w:val="24"/>
              <w:lang w:val="es-ES_tradnl" w:eastAsia="es-ES"/>
            </w:rPr>
            <w:fldChar w:fldCharType="separate"/>
          </w:r>
          <w:hyperlink w:anchor="_Toc1734634" w:history="1">
            <w:r w:rsidR="00C65F6A" w:rsidRPr="00C65F6A">
              <w:rPr>
                <w:rStyle w:val="Hipervnculo"/>
                <w:rFonts w:ascii="Palatino Linotype" w:hAnsi="Palatino Linotype"/>
                <w:b/>
                <w:noProof/>
                <w:sz w:val="24"/>
                <w:szCs w:val="24"/>
              </w:rPr>
              <w:t>I.</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rPr>
              <w:t>Consideraciones generales</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_Toc1734634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F93F7E">
              <w:rPr>
                <w:rFonts w:ascii="Palatino Linotype" w:hAnsi="Palatino Linotype"/>
                <w:noProof/>
                <w:webHidden/>
                <w:sz w:val="24"/>
                <w:szCs w:val="24"/>
              </w:rPr>
              <w:t>2</w:t>
            </w:r>
            <w:r w:rsidR="00C65F6A" w:rsidRPr="00C65F6A">
              <w:rPr>
                <w:rFonts w:ascii="Palatino Linotype" w:hAnsi="Palatino Linotype"/>
                <w:noProof/>
                <w:webHidden/>
                <w:sz w:val="24"/>
                <w:szCs w:val="24"/>
              </w:rPr>
              <w:fldChar w:fldCharType="end"/>
            </w:r>
          </w:hyperlink>
        </w:p>
        <w:p w:rsidR="00C65F6A" w:rsidRPr="00C65F6A" w:rsidRDefault="00D478CA">
          <w:pPr>
            <w:pStyle w:val="TDC1"/>
            <w:tabs>
              <w:tab w:val="left" w:pos="660"/>
              <w:tab w:val="right" w:leader="dot" w:pos="8828"/>
            </w:tabs>
            <w:rPr>
              <w:rFonts w:ascii="Palatino Linotype" w:eastAsiaTheme="minorEastAsia" w:hAnsi="Palatino Linotype"/>
              <w:noProof/>
              <w:sz w:val="24"/>
              <w:szCs w:val="24"/>
              <w:lang w:eastAsia="es-MX"/>
            </w:rPr>
          </w:pPr>
          <w:hyperlink w:anchor="_Toc1734635" w:history="1">
            <w:r w:rsidR="00C65F6A" w:rsidRPr="00C65F6A">
              <w:rPr>
                <w:rStyle w:val="Hipervnculo"/>
                <w:rFonts w:ascii="Palatino Linotype" w:hAnsi="Palatino Linotype"/>
                <w:b/>
                <w:noProof/>
                <w:sz w:val="24"/>
                <w:szCs w:val="24"/>
              </w:rPr>
              <w:t>II.</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rPr>
              <w:t>La condición de definitividad de las resoluciones de los órganos garantes del derecho de acceso a la información pública.</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_Toc1734635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F93F7E">
              <w:rPr>
                <w:rFonts w:ascii="Palatino Linotype" w:hAnsi="Palatino Linotype"/>
                <w:noProof/>
                <w:webHidden/>
                <w:sz w:val="24"/>
                <w:szCs w:val="24"/>
              </w:rPr>
              <w:t>3</w:t>
            </w:r>
            <w:r w:rsidR="00C65F6A" w:rsidRPr="00C65F6A">
              <w:rPr>
                <w:rFonts w:ascii="Palatino Linotype" w:hAnsi="Palatino Linotype"/>
                <w:noProof/>
                <w:webHidden/>
                <w:sz w:val="24"/>
                <w:szCs w:val="24"/>
              </w:rPr>
              <w:fldChar w:fldCharType="end"/>
            </w:r>
          </w:hyperlink>
        </w:p>
        <w:p w:rsidR="00C65F6A" w:rsidRPr="00C65F6A" w:rsidRDefault="00D478CA">
          <w:pPr>
            <w:pStyle w:val="TDC1"/>
            <w:tabs>
              <w:tab w:val="left" w:pos="660"/>
              <w:tab w:val="right" w:leader="dot" w:pos="8828"/>
            </w:tabs>
            <w:rPr>
              <w:rFonts w:ascii="Palatino Linotype" w:eastAsiaTheme="minorEastAsia" w:hAnsi="Palatino Linotype"/>
              <w:noProof/>
              <w:sz w:val="24"/>
              <w:szCs w:val="24"/>
              <w:lang w:eastAsia="es-MX"/>
            </w:rPr>
          </w:pPr>
          <w:hyperlink w:anchor="_Toc1734636" w:history="1">
            <w:r w:rsidR="00C65F6A" w:rsidRPr="00C65F6A">
              <w:rPr>
                <w:rStyle w:val="Hipervnculo"/>
                <w:rFonts w:ascii="Palatino Linotype" w:hAnsi="Palatino Linotype"/>
                <w:b/>
                <w:noProof/>
                <w:sz w:val="24"/>
                <w:szCs w:val="24"/>
                <w:lang w:val="es-ES"/>
              </w:rPr>
              <w:t>III.</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lang w:val="es-ES"/>
              </w:rPr>
              <w:t>La naturaleza de los Sujetos Obligados.</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_Toc1734636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F93F7E">
              <w:rPr>
                <w:rFonts w:ascii="Palatino Linotype" w:hAnsi="Palatino Linotype"/>
                <w:noProof/>
                <w:webHidden/>
                <w:sz w:val="24"/>
                <w:szCs w:val="24"/>
              </w:rPr>
              <w:t>6</w:t>
            </w:r>
            <w:r w:rsidR="00C65F6A" w:rsidRPr="00C65F6A">
              <w:rPr>
                <w:rFonts w:ascii="Palatino Linotype" w:hAnsi="Palatino Linotype"/>
                <w:noProof/>
                <w:webHidden/>
                <w:sz w:val="24"/>
                <w:szCs w:val="24"/>
              </w:rPr>
              <w:fldChar w:fldCharType="end"/>
            </w:r>
          </w:hyperlink>
        </w:p>
        <w:p w:rsidR="00C65F6A" w:rsidRPr="00C65F6A" w:rsidRDefault="00D478CA">
          <w:pPr>
            <w:pStyle w:val="TDC1"/>
            <w:tabs>
              <w:tab w:val="left" w:pos="660"/>
              <w:tab w:val="right" w:leader="dot" w:pos="8828"/>
            </w:tabs>
            <w:rPr>
              <w:rFonts w:ascii="Palatino Linotype" w:eastAsiaTheme="minorEastAsia" w:hAnsi="Palatino Linotype"/>
              <w:noProof/>
              <w:sz w:val="24"/>
              <w:szCs w:val="24"/>
              <w:lang w:eastAsia="es-MX"/>
            </w:rPr>
          </w:pPr>
          <w:hyperlink w:anchor="_Toc1734637" w:history="1">
            <w:r w:rsidR="00C65F6A" w:rsidRPr="00C65F6A">
              <w:rPr>
                <w:rStyle w:val="Hipervnculo"/>
                <w:rFonts w:ascii="Palatino Linotype" w:hAnsi="Palatino Linotype"/>
                <w:b/>
                <w:noProof/>
                <w:sz w:val="24"/>
                <w:szCs w:val="24"/>
                <w:lang w:val="es-ES"/>
              </w:rPr>
              <w:t>IV.</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lang w:val="es-ES"/>
              </w:rPr>
              <w:t>Problema y propuesta.</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_Toc1734637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F93F7E">
              <w:rPr>
                <w:rFonts w:ascii="Palatino Linotype" w:hAnsi="Palatino Linotype"/>
                <w:noProof/>
                <w:webHidden/>
                <w:sz w:val="24"/>
                <w:szCs w:val="24"/>
              </w:rPr>
              <w:t>15</w:t>
            </w:r>
            <w:r w:rsidR="00C65F6A" w:rsidRPr="00C65F6A">
              <w:rPr>
                <w:rFonts w:ascii="Palatino Linotype" w:hAnsi="Palatino Linotype"/>
                <w:noProof/>
                <w:webHidden/>
                <w:sz w:val="24"/>
                <w:szCs w:val="24"/>
              </w:rPr>
              <w:fldChar w:fldCharType="end"/>
            </w:r>
          </w:hyperlink>
        </w:p>
        <w:p w:rsidR="00C65F6A" w:rsidRPr="00C65F6A" w:rsidRDefault="00D478CA">
          <w:pPr>
            <w:pStyle w:val="TDC1"/>
            <w:tabs>
              <w:tab w:val="left" w:pos="660"/>
              <w:tab w:val="right" w:leader="dot" w:pos="8828"/>
            </w:tabs>
            <w:rPr>
              <w:rFonts w:ascii="Palatino Linotype" w:eastAsiaTheme="minorEastAsia" w:hAnsi="Palatino Linotype"/>
              <w:noProof/>
              <w:sz w:val="24"/>
              <w:szCs w:val="24"/>
              <w:lang w:eastAsia="es-MX"/>
            </w:rPr>
          </w:pPr>
          <w:hyperlink w:anchor="_Toc1734638" w:history="1">
            <w:r w:rsidR="00C65F6A" w:rsidRPr="00C65F6A">
              <w:rPr>
                <w:rStyle w:val="Hipervnculo"/>
                <w:rFonts w:ascii="Palatino Linotype" w:hAnsi="Palatino Linotype"/>
                <w:b/>
                <w:noProof/>
                <w:sz w:val="24"/>
                <w:szCs w:val="24"/>
                <w:lang w:val="es-ES"/>
              </w:rPr>
              <w:t>V.</w:t>
            </w:r>
            <w:r w:rsidR="00C65F6A" w:rsidRPr="00C65F6A">
              <w:rPr>
                <w:rFonts w:ascii="Palatino Linotype" w:eastAsiaTheme="minorEastAsia" w:hAnsi="Palatino Linotype"/>
                <w:noProof/>
                <w:sz w:val="24"/>
                <w:szCs w:val="24"/>
                <w:lang w:eastAsia="es-MX"/>
              </w:rPr>
              <w:tab/>
            </w:r>
            <w:r w:rsidR="00C65F6A" w:rsidRPr="00C65F6A">
              <w:rPr>
                <w:rStyle w:val="Hipervnculo"/>
                <w:rFonts w:ascii="Palatino Linotype" w:hAnsi="Palatino Linotype"/>
                <w:b/>
                <w:noProof/>
                <w:sz w:val="24"/>
                <w:szCs w:val="24"/>
                <w:lang w:val="es-ES"/>
              </w:rPr>
              <w:t>Conclusión.</w:t>
            </w:r>
            <w:r w:rsidR="00C65F6A" w:rsidRPr="00C65F6A">
              <w:rPr>
                <w:rFonts w:ascii="Palatino Linotype" w:hAnsi="Palatino Linotype"/>
                <w:noProof/>
                <w:webHidden/>
                <w:sz w:val="24"/>
                <w:szCs w:val="24"/>
              </w:rPr>
              <w:tab/>
            </w:r>
            <w:r w:rsidR="00C65F6A" w:rsidRPr="00C65F6A">
              <w:rPr>
                <w:rFonts w:ascii="Palatino Linotype" w:hAnsi="Palatino Linotype"/>
                <w:noProof/>
                <w:webHidden/>
                <w:sz w:val="24"/>
                <w:szCs w:val="24"/>
              </w:rPr>
              <w:fldChar w:fldCharType="begin"/>
            </w:r>
            <w:r w:rsidR="00C65F6A" w:rsidRPr="00C65F6A">
              <w:rPr>
                <w:rFonts w:ascii="Palatino Linotype" w:hAnsi="Palatino Linotype"/>
                <w:noProof/>
                <w:webHidden/>
                <w:sz w:val="24"/>
                <w:szCs w:val="24"/>
              </w:rPr>
              <w:instrText xml:space="preserve"> PAGEREF _Toc1734638 \h </w:instrText>
            </w:r>
            <w:r w:rsidR="00C65F6A" w:rsidRPr="00C65F6A">
              <w:rPr>
                <w:rFonts w:ascii="Palatino Linotype" w:hAnsi="Palatino Linotype"/>
                <w:noProof/>
                <w:webHidden/>
                <w:sz w:val="24"/>
                <w:szCs w:val="24"/>
              </w:rPr>
            </w:r>
            <w:r w:rsidR="00C65F6A" w:rsidRPr="00C65F6A">
              <w:rPr>
                <w:rFonts w:ascii="Palatino Linotype" w:hAnsi="Palatino Linotype"/>
                <w:noProof/>
                <w:webHidden/>
                <w:sz w:val="24"/>
                <w:szCs w:val="24"/>
              </w:rPr>
              <w:fldChar w:fldCharType="separate"/>
            </w:r>
            <w:r w:rsidR="00F93F7E">
              <w:rPr>
                <w:rFonts w:ascii="Palatino Linotype" w:hAnsi="Palatino Linotype"/>
                <w:noProof/>
                <w:webHidden/>
                <w:sz w:val="24"/>
                <w:szCs w:val="24"/>
              </w:rPr>
              <w:t>18</w:t>
            </w:r>
            <w:r w:rsidR="00C65F6A" w:rsidRPr="00C65F6A">
              <w:rPr>
                <w:rFonts w:ascii="Palatino Linotype" w:hAnsi="Palatino Linotype"/>
                <w:noProof/>
                <w:webHidden/>
                <w:sz w:val="24"/>
                <w:szCs w:val="24"/>
              </w:rPr>
              <w:fldChar w:fldCharType="end"/>
            </w:r>
          </w:hyperlink>
        </w:p>
        <w:p w:rsidR="00DC11A3" w:rsidRPr="00C65F6A" w:rsidRDefault="00DC11A3" w:rsidP="00C65F6A">
          <w:r>
            <w:rPr>
              <w:b/>
              <w:bCs/>
              <w:lang w:val="es-ES"/>
            </w:rPr>
            <w:fldChar w:fldCharType="end"/>
          </w:r>
        </w:p>
      </w:sdtContent>
    </w:sdt>
    <w:p w:rsidR="00F27048" w:rsidRDefault="00F27048" w:rsidP="00F27048">
      <w:pPr>
        <w:pStyle w:val="Ttulo1"/>
        <w:rPr>
          <w:rFonts w:ascii="Palatino Linotype" w:hAnsi="Palatino Linotype"/>
          <w:b/>
          <w:color w:val="auto"/>
          <w:sz w:val="24"/>
        </w:rPr>
      </w:pPr>
      <w:bookmarkStart w:id="1" w:name="_Toc1734634"/>
    </w:p>
    <w:p w:rsidR="00F27048" w:rsidRDefault="00F27048" w:rsidP="00F27048">
      <w:pPr>
        <w:pStyle w:val="Ttulo1"/>
        <w:rPr>
          <w:rFonts w:ascii="Palatino Linotype" w:hAnsi="Palatino Linotype"/>
          <w:b/>
          <w:color w:val="auto"/>
          <w:sz w:val="24"/>
        </w:rPr>
      </w:pPr>
    </w:p>
    <w:p w:rsidR="00C65F6A" w:rsidRDefault="00627CAE" w:rsidP="00C65F6A">
      <w:pPr>
        <w:pStyle w:val="Ttulo1"/>
        <w:numPr>
          <w:ilvl w:val="0"/>
          <w:numId w:val="16"/>
        </w:numPr>
        <w:ind w:left="0" w:firstLine="0"/>
        <w:rPr>
          <w:rFonts w:ascii="Palatino Linotype" w:hAnsi="Palatino Linotype"/>
          <w:b/>
          <w:color w:val="auto"/>
          <w:sz w:val="24"/>
        </w:rPr>
      </w:pPr>
      <w:r w:rsidRPr="00DC11A3">
        <w:rPr>
          <w:rFonts w:ascii="Palatino Linotype" w:hAnsi="Palatino Linotype"/>
          <w:b/>
          <w:color w:val="auto"/>
          <w:sz w:val="24"/>
        </w:rPr>
        <w:t>Consideraciones generales</w:t>
      </w:r>
      <w:bookmarkEnd w:id="1"/>
    </w:p>
    <w:p w:rsidR="00C65F6A" w:rsidRPr="00C65F6A" w:rsidRDefault="00C65F6A" w:rsidP="00C65F6A"/>
    <w:p w:rsidR="00F8011C" w:rsidRDefault="00627CAE" w:rsidP="00F8011C">
      <w:pPr>
        <w:pStyle w:val="Prrafodelista"/>
        <w:numPr>
          <w:ilvl w:val="0"/>
          <w:numId w:val="1"/>
        </w:numPr>
        <w:spacing w:after="0" w:line="360" w:lineRule="auto"/>
        <w:ind w:left="0" w:firstLine="0"/>
        <w:jc w:val="both"/>
        <w:rPr>
          <w:rFonts w:ascii="Palatino Linotype" w:hAnsi="Palatino Linotype" w:cs="Arial"/>
          <w:sz w:val="24"/>
          <w:szCs w:val="24"/>
        </w:rPr>
      </w:pPr>
      <w:r w:rsidRPr="0037358E">
        <w:rPr>
          <w:rFonts w:ascii="Palatino Linotype" w:eastAsia="Times New Roman" w:hAnsi="Palatino Linotype" w:cs="Arial"/>
          <w:sz w:val="24"/>
          <w:szCs w:val="24"/>
          <w:lang w:val="es-ES_tradnl"/>
        </w:rPr>
        <w:t xml:space="preserve"> He con</w:t>
      </w:r>
      <w:r w:rsidR="004D201E">
        <w:rPr>
          <w:rFonts w:ascii="Palatino Linotype" w:eastAsia="Times New Roman" w:hAnsi="Palatino Linotype" w:cs="Arial"/>
          <w:sz w:val="24"/>
          <w:szCs w:val="24"/>
          <w:lang w:val="es-ES_tradnl"/>
        </w:rPr>
        <w:t>currido con mi voto particular en</w:t>
      </w:r>
      <w:r w:rsidRPr="0037358E">
        <w:rPr>
          <w:rFonts w:ascii="Palatino Linotype" w:eastAsia="Times New Roman" w:hAnsi="Palatino Linotype" w:cs="Arial"/>
          <w:sz w:val="24"/>
          <w:szCs w:val="24"/>
          <w:lang w:val="es-ES_tradnl"/>
        </w:rPr>
        <w:t xml:space="preserve"> la presente resolución emitida </w:t>
      </w:r>
      <w:r w:rsidRPr="0037358E">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865B96">
        <w:rPr>
          <w:rFonts w:ascii="Palatino Linotype" w:hAnsi="Palatino Linotype" w:cs="Arial"/>
          <w:sz w:val="24"/>
          <w:szCs w:val="24"/>
        </w:rPr>
        <w:t>Octava</w:t>
      </w:r>
      <w:r w:rsidR="00F22581">
        <w:rPr>
          <w:rFonts w:ascii="Palatino Linotype" w:hAnsi="Palatino Linotype" w:cs="Arial"/>
          <w:sz w:val="24"/>
          <w:szCs w:val="24"/>
        </w:rPr>
        <w:t xml:space="preserve"> Sesión O</w:t>
      </w:r>
      <w:r w:rsidRPr="0037358E">
        <w:rPr>
          <w:rFonts w:ascii="Palatino Linotype" w:hAnsi="Palatino Linotype" w:cs="Arial"/>
          <w:sz w:val="24"/>
          <w:szCs w:val="24"/>
        </w:rPr>
        <w:t xml:space="preserve">rdinaria llevada a cabo el </w:t>
      </w:r>
      <w:r w:rsidR="00F8011C">
        <w:rPr>
          <w:rFonts w:ascii="Palatino Linotype" w:hAnsi="Palatino Linotype" w:cs="Arial"/>
          <w:sz w:val="24"/>
          <w:szCs w:val="24"/>
        </w:rPr>
        <w:t>veintisiete</w:t>
      </w:r>
      <w:r w:rsidRPr="0037358E">
        <w:rPr>
          <w:rFonts w:ascii="Palatino Linotype" w:hAnsi="Palatino Linotype" w:cs="Arial"/>
          <w:sz w:val="24"/>
          <w:szCs w:val="24"/>
        </w:rPr>
        <w:t xml:space="preserve"> (</w:t>
      </w:r>
      <w:r w:rsidR="00F8011C">
        <w:rPr>
          <w:rFonts w:ascii="Palatino Linotype" w:hAnsi="Palatino Linotype" w:cs="Arial"/>
          <w:sz w:val="24"/>
          <w:szCs w:val="24"/>
        </w:rPr>
        <w:t>27</w:t>
      </w:r>
      <w:r w:rsidRPr="0037358E">
        <w:rPr>
          <w:rFonts w:ascii="Palatino Linotype" w:hAnsi="Palatino Linotype" w:cs="Arial"/>
          <w:sz w:val="24"/>
          <w:szCs w:val="24"/>
        </w:rPr>
        <w:t xml:space="preserve">) de </w:t>
      </w:r>
      <w:r w:rsidR="00F8011C">
        <w:rPr>
          <w:rFonts w:ascii="Palatino Linotype" w:hAnsi="Palatino Linotype" w:cs="Arial"/>
          <w:sz w:val="24"/>
          <w:szCs w:val="24"/>
        </w:rPr>
        <w:t>febrero</w:t>
      </w:r>
      <w:r w:rsidRPr="0037358E">
        <w:rPr>
          <w:rFonts w:ascii="Palatino Linotype" w:hAnsi="Palatino Linotype" w:cs="Arial"/>
          <w:sz w:val="24"/>
          <w:szCs w:val="24"/>
        </w:rPr>
        <w:t xml:space="preserve"> del año en curso, en el recurso de revisión promovido en contra de la</w:t>
      </w:r>
      <w:r>
        <w:rPr>
          <w:rFonts w:ascii="Palatino Linotype" w:hAnsi="Palatino Linotype" w:cs="Arial"/>
          <w:sz w:val="24"/>
          <w:szCs w:val="24"/>
        </w:rPr>
        <w:t xml:space="preserve"> respuesta</w:t>
      </w:r>
      <w:r w:rsidRPr="0037358E">
        <w:rPr>
          <w:rFonts w:ascii="Palatino Linotype" w:hAnsi="Palatino Linotype" w:cs="Arial"/>
          <w:sz w:val="24"/>
          <w:szCs w:val="24"/>
        </w:rPr>
        <w:t xml:space="preserve"> del </w:t>
      </w:r>
      <w:r w:rsidR="00F8011C" w:rsidRPr="00F8011C">
        <w:rPr>
          <w:rFonts w:ascii="Palatino Linotype" w:hAnsi="Palatino Linotype"/>
          <w:b/>
          <w:sz w:val="24"/>
          <w:szCs w:val="24"/>
          <w:lang w:val="es-ES_tradnl"/>
        </w:rPr>
        <w:t>Agrupación de Trabajadores Académicos al Servicio del Colegio de Estudios Científicos y Tecnológicos del Estado de México</w:t>
      </w:r>
      <w:r w:rsidR="00775E57" w:rsidRPr="00F8011C">
        <w:rPr>
          <w:rFonts w:ascii="Palatino Linotype" w:hAnsi="Palatino Linotype" w:cs="Arial"/>
          <w:b/>
          <w:sz w:val="24"/>
          <w:szCs w:val="24"/>
        </w:rPr>
        <w:t>,</w:t>
      </w:r>
      <w:r w:rsidRPr="00F8011C">
        <w:rPr>
          <w:rFonts w:ascii="Palatino Linotype" w:hAnsi="Palatino Linotype" w:cs="Arial"/>
          <w:sz w:val="24"/>
          <w:szCs w:val="24"/>
        </w:rPr>
        <w:t xml:space="preserve"> procedimiento al que se le </w:t>
      </w:r>
      <w:r w:rsidR="004B6A69" w:rsidRPr="00F8011C">
        <w:rPr>
          <w:rFonts w:ascii="Palatino Linotype" w:hAnsi="Palatino Linotype" w:cs="Arial"/>
          <w:sz w:val="24"/>
          <w:szCs w:val="24"/>
        </w:rPr>
        <w:t>asignó el número de expediente</w:t>
      </w:r>
      <w:r w:rsidRPr="00F8011C">
        <w:rPr>
          <w:rFonts w:ascii="Palatino Linotype" w:hAnsi="Palatino Linotype" w:cs="Arial"/>
          <w:sz w:val="24"/>
          <w:szCs w:val="24"/>
        </w:rPr>
        <w:t xml:space="preserve"> señalado</w:t>
      </w:r>
      <w:r w:rsidR="004B6A69" w:rsidRPr="00F8011C">
        <w:rPr>
          <w:rFonts w:ascii="Palatino Linotype" w:hAnsi="Palatino Linotype" w:cs="Arial"/>
          <w:sz w:val="24"/>
          <w:szCs w:val="24"/>
        </w:rPr>
        <w:t xml:space="preserve"> al rubro</w:t>
      </w:r>
      <w:r w:rsidRPr="00F8011C">
        <w:rPr>
          <w:rFonts w:ascii="Palatino Linotype" w:hAnsi="Palatino Linotype" w:cs="Arial"/>
          <w:sz w:val="24"/>
          <w:szCs w:val="24"/>
        </w:rPr>
        <w:t>.</w:t>
      </w:r>
    </w:p>
    <w:p w:rsidR="00F8011C" w:rsidRDefault="00F8011C" w:rsidP="00F8011C">
      <w:pPr>
        <w:pStyle w:val="Prrafodelista"/>
        <w:spacing w:after="0" w:line="360" w:lineRule="auto"/>
        <w:ind w:left="0"/>
        <w:jc w:val="both"/>
        <w:rPr>
          <w:rFonts w:ascii="Palatino Linotype" w:hAnsi="Palatino Linotype" w:cs="Arial"/>
          <w:sz w:val="24"/>
          <w:szCs w:val="24"/>
        </w:rPr>
      </w:pPr>
    </w:p>
    <w:p w:rsidR="00F8011C" w:rsidRPr="00F8011C" w:rsidRDefault="00627CAE" w:rsidP="00F8011C">
      <w:pPr>
        <w:pStyle w:val="Prrafodelista"/>
        <w:numPr>
          <w:ilvl w:val="0"/>
          <w:numId w:val="1"/>
        </w:numPr>
        <w:spacing w:after="0" w:line="360" w:lineRule="auto"/>
        <w:ind w:left="0" w:firstLine="0"/>
        <w:jc w:val="both"/>
        <w:rPr>
          <w:rFonts w:ascii="Palatino Linotype" w:hAnsi="Palatino Linotype" w:cs="Arial"/>
          <w:sz w:val="24"/>
          <w:szCs w:val="24"/>
        </w:rPr>
      </w:pPr>
      <w:r w:rsidRPr="00F8011C">
        <w:rPr>
          <w:rFonts w:ascii="Palatino Linotype" w:hAnsi="Palatino Linotype" w:cs="Arial"/>
          <w:sz w:val="24"/>
          <w:szCs w:val="24"/>
        </w:rPr>
        <w:lastRenderedPageBreak/>
        <w:t xml:space="preserve">La resolución </w:t>
      </w:r>
      <w:r w:rsidR="00F8011C" w:rsidRPr="00F8011C">
        <w:rPr>
          <w:rFonts w:ascii="Palatino Linotype" w:hAnsi="Palatino Linotype" w:cs="Arial"/>
          <w:b/>
          <w:sz w:val="24"/>
          <w:szCs w:val="24"/>
        </w:rPr>
        <w:t>Ordena</w:t>
      </w:r>
      <w:r w:rsidR="00F8011C" w:rsidRPr="00F8011C">
        <w:rPr>
          <w:rFonts w:ascii="Palatino Linotype" w:hAnsi="Palatino Linotype" w:cs="Arial"/>
          <w:sz w:val="24"/>
          <w:szCs w:val="24"/>
        </w:rPr>
        <w:t xml:space="preserve"> se atienda la solicitud de información 00029/ATASCECYTE/IP/2018 </w:t>
      </w:r>
      <w:r w:rsidR="00F8011C" w:rsidRPr="00F8011C">
        <w:rPr>
          <w:rFonts w:ascii="Palatino Linotype" w:eastAsia="Times New Roman" w:hAnsi="Palatino Linotype" w:cs="Times New Roman"/>
          <w:color w:val="222222"/>
          <w:sz w:val="24"/>
          <w:szCs w:val="24"/>
          <w:lang w:eastAsia="es-MX"/>
        </w:rPr>
        <w:t xml:space="preserve">y haga entrega a </w:t>
      </w:r>
      <w:r w:rsidR="00F8011C" w:rsidRPr="00F8011C">
        <w:rPr>
          <w:rFonts w:ascii="Palatino Linotype" w:eastAsia="Times New Roman" w:hAnsi="Palatino Linotype" w:cs="Times New Roman"/>
          <w:b/>
          <w:color w:val="222222"/>
          <w:sz w:val="24"/>
          <w:szCs w:val="24"/>
          <w:lang w:eastAsia="es-MX"/>
        </w:rPr>
        <w:t>LA</w:t>
      </w:r>
      <w:r w:rsidR="00F8011C" w:rsidRPr="00F8011C">
        <w:rPr>
          <w:rFonts w:ascii="Palatino Linotype" w:eastAsia="Times New Roman" w:hAnsi="Palatino Linotype" w:cs="Times New Roman"/>
          <w:color w:val="222222"/>
          <w:sz w:val="24"/>
          <w:szCs w:val="24"/>
          <w:lang w:eastAsia="es-MX"/>
        </w:rPr>
        <w:t xml:space="preserve"> </w:t>
      </w:r>
      <w:r w:rsidR="00F8011C" w:rsidRPr="00F8011C">
        <w:rPr>
          <w:rFonts w:ascii="Palatino Linotype" w:eastAsia="Times New Roman" w:hAnsi="Palatino Linotype" w:cs="Times New Roman"/>
          <w:b/>
          <w:bCs/>
          <w:color w:val="222222"/>
          <w:sz w:val="24"/>
          <w:szCs w:val="24"/>
          <w:lang w:eastAsia="es-MX"/>
        </w:rPr>
        <w:t>RECURRENTE</w:t>
      </w:r>
      <w:r w:rsidR="00F8011C" w:rsidRPr="00F8011C">
        <w:rPr>
          <w:rFonts w:ascii="Palatino Linotype" w:eastAsia="Times New Roman" w:hAnsi="Palatino Linotype" w:cs="Times New Roman"/>
          <w:bCs/>
          <w:color w:val="222222"/>
          <w:sz w:val="24"/>
          <w:szCs w:val="24"/>
          <w:lang w:eastAsia="es-MX"/>
        </w:rPr>
        <w:t>,</w:t>
      </w:r>
      <w:r w:rsidR="00F8011C" w:rsidRPr="00F8011C">
        <w:rPr>
          <w:rFonts w:ascii="Palatino Linotype" w:eastAsia="Times New Roman" w:hAnsi="Palatino Linotype" w:cs="Times New Roman"/>
          <w:b/>
          <w:bCs/>
          <w:color w:val="222222"/>
          <w:sz w:val="24"/>
          <w:szCs w:val="24"/>
          <w:lang w:eastAsia="es-MX"/>
        </w:rPr>
        <w:t xml:space="preserve"> </w:t>
      </w:r>
      <w:r w:rsidR="00F8011C" w:rsidRPr="00F8011C">
        <w:rPr>
          <w:rFonts w:ascii="Palatino Linotype" w:eastAsia="Times New Roman" w:hAnsi="Palatino Linotype" w:cs="Times New Roman"/>
          <w:color w:val="222222"/>
          <w:sz w:val="24"/>
          <w:szCs w:val="24"/>
          <w:lang w:eastAsia="es-MX"/>
        </w:rPr>
        <w:t>en términos del Considerando </w:t>
      </w:r>
      <w:r w:rsidR="00F8011C" w:rsidRPr="00F8011C">
        <w:rPr>
          <w:rFonts w:ascii="Palatino Linotype" w:eastAsia="Times New Roman" w:hAnsi="Palatino Linotype" w:cs="Times New Roman"/>
          <w:b/>
          <w:bCs/>
          <w:color w:val="222222"/>
          <w:sz w:val="24"/>
          <w:szCs w:val="24"/>
          <w:lang w:eastAsia="es-MX"/>
        </w:rPr>
        <w:t>QUINTO</w:t>
      </w:r>
      <w:r w:rsidR="00F8011C">
        <w:rPr>
          <w:rFonts w:ascii="Palatino Linotype" w:eastAsia="Times New Roman" w:hAnsi="Palatino Linotype" w:cs="Times New Roman"/>
          <w:color w:val="222222"/>
          <w:sz w:val="24"/>
          <w:szCs w:val="24"/>
          <w:lang w:eastAsia="es-MX"/>
        </w:rPr>
        <w:t> de l</w:t>
      </w:r>
      <w:r w:rsidR="00F8011C" w:rsidRPr="00F8011C">
        <w:rPr>
          <w:rFonts w:ascii="Palatino Linotype" w:eastAsia="Times New Roman" w:hAnsi="Palatino Linotype" w:cs="Times New Roman"/>
          <w:color w:val="222222"/>
          <w:sz w:val="24"/>
          <w:szCs w:val="24"/>
          <w:lang w:eastAsia="es-MX"/>
        </w:rPr>
        <w:t xml:space="preserve">a resolución, </w:t>
      </w:r>
      <w:r w:rsidR="00F8011C" w:rsidRPr="00F8011C">
        <w:rPr>
          <w:rFonts w:ascii="Palatino Linotype" w:eastAsia="Times New Roman" w:hAnsi="Palatino Linotype" w:cs="Arial"/>
          <w:sz w:val="24"/>
          <w:szCs w:val="24"/>
          <w:lang w:eastAsia="es-ES"/>
        </w:rPr>
        <w:t xml:space="preserve">vía el </w:t>
      </w:r>
      <w:r w:rsidR="00F8011C" w:rsidRPr="00F8011C">
        <w:rPr>
          <w:rFonts w:ascii="Palatino Linotype" w:eastAsia="Times New Roman" w:hAnsi="Palatino Linotype" w:cs="Arial"/>
          <w:b/>
          <w:sz w:val="24"/>
          <w:szCs w:val="24"/>
          <w:lang w:eastAsia="es-ES"/>
        </w:rPr>
        <w:t>SAIMEX</w:t>
      </w:r>
      <w:r w:rsidR="00F8011C" w:rsidRPr="00F8011C">
        <w:rPr>
          <w:rFonts w:ascii="Palatino Linotype" w:eastAsia="Times New Roman" w:hAnsi="Palatino Linotype" w:cs="Arial"/>
          <w:sz w:val="24"/>
          <w:szCs w:val="24"/>
          <w:lang w:eastAsia="es-ES"/>
        </w:rPr>
        <w:t>,</w:t>
      </w:r>
      <w:r w:rsidR="00F8011C" w:rsidRPr="00F8011C">
        <w:rPr>
          <w:rFonts w:ascii="Palatino Linotype" w:eastAsia="Times New Roman" w:hAnsi="Palatino Linotype" w:cs="Times New Roman"/>
          <w:color w:val="222222"/>
          <w:sz w:val="24"/>
          <w:szCs w:val="24"/>
          <w:lang w:eastAsia="es-MX"/>
        </w:rPr>
        <w:t xml:space="preserve"> de los documentos en donde conste lo siguiente:</w:t>
      </w:r>
    </w:p>
    <w:p w:rsidR="00F8011C" w:rsidRPr="00F8011C" w:rsidRDefault="00F8011C" w:rsidP="00F8011C">
      <w:pPr>
        <w:pStyle w:val="Prrafodelista"/>
        <w:rPr>
          <w:rFonts w:ascii="Palatino Linotype" w:hAnsi="Palatino Linotype" w:cs="Arial"/>
          <w:sz w:val="24"/>
          <w:szCs w:val="24"/>
        </w:rPr>
      </w:pPr>
    </w:p>
    <w:p w:rsidR="00F8011C" w:rsidRPr="00F8011C" w:rsidRDefault="00F8011C" w:rsidP="00F8011C">
      <w:pPr>
        <w:pStyle w:val="Prrafodelista"/>
        <w:ind w:right="902"/>
        <w:jc w:val="both"/>
        <w:rPr>
          <w:rFonts w:ascii="Palatino Linotype" w:hAnsi="Palatino Linotype" w:cs="Arial"/>
          <w:i/>
          <w:lang w:eastAsia="es-MX"/>
        </w:rPr>
      </w:pPr>
      <w:r w:rsidRPr="00F8011C">
        <w:rPr>
          <w:rFonts w:ascii="Palatino Linotype" w:hAnsi="Palatino Linotype" w:cs="Arial"/>
          <w:i/>
          <w:lang w:eastAsia="es-MX"/>
        </w:rPr>
        <w:t>“a) Las propuestas educativas generadas a fin de mejorar las condiciones, el desempeño en el aula y las prácticas docentes del 3 de diciembre de 2017 al 3 de diciembre de 2018.</w:t>
      </w:r>
    </w:p>
    <w:p w:rsidR="00F8011C" w:rsidRPr="00F8011C" w:rsidRDefault="00F8011C" w:rsidP="00F8011C">
      <w:pPr>
        <w:pStyle w:val="Prrafodelista"/>
        <w:ind w:right="902"/>
        <w:jc w:val="both"/>
        <w:rPr>
          <w:rFonts w:ascii="Palatino Linotype" w:hAnsi="Palatino Linotype" w:cs="Arial"/>
          <w:i/>
          <w:lang w:eastAsia="es-MX"/>
        </w:rPr>
      </w:pPr>
    </w:p>
    <w:p w:rsidR="00F8011C" w:rsidRPr="00F8011C" w:rsidRDefault="00F8011C" w:rsidP="00F8011C">
      <w:pPr>
        <w:pStyle w:val="Prrafodelista"/>
        <w:ind w:right="902"/>
        <w:jc w:val="both"/>
        <w:rPr>
          <w:rFonts w:ascii="Palatino Linotype" w:hAnsi="Palatino Linotype" w:cs="Arial"/>
          <w:i/>
          <w:lang w:eastAsia="es-MX"/>
        </w:rPr>
      </w:pPr>
      <w:r w:rsidRPr="00F8011C">
        <w:rPr>
          <w:rFonts w:ascii="Palatino Linotype" w:hAnsi="Palatino Linotype" w:cs="Arial"/>
          <w:i/>
          <w:lang w:eastAsia="es-MX"/>
        </w:rPr>
        <w:t>b) El nombre del personal al que se le hubieran entregado las propuestas referidas en el inciso anterior.</w:t>
      </w:r>
    </w:p>
    <w:p w:rsidR="00F8011C" w:rsidRPr="00F8011C" w:rsidRDefault="00F8011C" w:rsidP="00F8011C">
      <w:pPr>
        <w:pStyle w:val="Prrafodelista"/>
        <w:rPr>
          <w:rFonts w:ascii="Palatino Linotype" w:hAnsi="Palatino Linotype" w:cs="Arial"/>
          <w:sz w:val="24"/>
          <w:szCs w:val="24"/>
        </w:rPr>
      </w:pPr>
    </w:p>
    <w:p w:rsidR="00F8011C" w:rsidRPr="00F8011C" w:rsidRDefault="00F8011C" w:rsidP="00F8011C">
      <w:pPr>
        <w:pStyle w:val="Prrafodelista"/>
        <w:spacing w:after="0" w:line="360" w:lineRule="auto"/>
        <w:ind w:left="0"/>
        <w:jc w:val="both"/>
        <w:rPr>
          <w:rFonts w:ascii="Palatino Linotype" w:hAnsi="Palatino Linotype" w:cs="Arial"/>
          <w:sz w:val="24"/>
          <w:szCs w:val="24"/>
        </w:rPr>
      </w:pPr>
    </w:p>
    <w:p w:rsidR="00627CAE" w:rsidRDefault="00F8011C" w:rsidP="00351453">
      <w:pPr>
        <w:pStyle w:val="Prrafodelista"/>
        <w:numPr>
          <w:ilvl w:val="0"/>
          <w:numId w:val="1"/>
        </w:numPr>
        <w:spacing w:before="240" w:after="240" w:line="360" w:lineRule="auto"/>
        <w:ind w:left="0" w:firstLine="0"/>
        <w:jc w:val="both"/>
        <w:rPr>
          <w:rFonts w:ascii="Palatino Linotype" w:hAnsi="Palatino Linotype" w:cs="Arial"/>
          <w:sz w:val="24"/>
          <w:szCs w:val="24"/>
        </w:rPr>
      </w:pPr>
      <w:r>
        <w:rPr>
          <w:rFonts w:ascii="Palatino Linotype" w:eastAsia="Times New Roman" w:hAnsi="Palatino Linotype" w:cs="Arial"/>
          <w:sz w:val="24"/>
          <w:szCs w:val="24"/>
        </w:rPr>
        <w:t>E</w:t>
      </w:r>
      <w:r w:rsidR="00627CAE" w:rsidRPr="0037358E">
        <w:rPr>
          <w:rFonts w:ascii="Palatino Linotype" w:eastAsia="Times New Roman" w:hAnsi="Palatino Linotype" w:cs="Arial"/>
          <w:sz w:val="24"/>
          <w:szCs w:val="24"/>
        </w:rPr>
        <w:t xml:space="preserve">n su resolutivo </w:t>
      </w:r>
      <w:r>
        <w:rPr>
          <w:rFonts w:ascii="Palatino Linotype" w:eastAsia="Times New Roman" w:hAnsi="Palatino Linotype" w:cs="Arial"/>
          <w:sz w:val="24"/>
          <w:szCs w:val="24"/>
        </w:rPr>
        <w:t>quinto</w:t>
      </w:r>
      <w:r w:rsidR="00924FD2">
        <w:rPr>
          <w:rFonts w:ascii="Palatino Linotype" w:eastAsia="Times New Roman" w:hAnsi="Palatino Linotype" w:cs="Arial"/>
          <w:sz w:val="24"/>
          <w:szCs w:val="24"/>
        </w:rPr>
        <w:t xml:space="preserve"> </w:t>
      </w:r>
      <w:r w:rsidR="00627CAE" w:rsidRPr="0037358E">
        <w:rPr>
          <w:rFonts w:ascii="Palatino Linotype" w:eastAsia="Times New Roman" w:hAnsi="Palatino Linotype" w:cs="Arial"/>
          <w:sz w:val="24"/>
          <w:szCs w:val="24"/>
        </w:rPr>
        <w:t xml:space="preserve">informa </w:t>
      </w:r>
      <w:r w:rsidR="00DC11A3" w:rsidRPr="0037358E">
        <w:rPr>
          <w:rFonts w:ascii="Palatino Linotype" w:eastAsia="Times New Roman" w:hAnsi="Palatino Linotype" w:cs="Arial"/>
          <w:sz w:val="24"/>
          <w:szCs w:val="24"/>
        </w:rPr>
        <w:t>a</w:t>
      </w:r>
      <w:r w:rsidR="00407A2F">
        <w:rPr>
          <w:rFonts w:ascii="Palatino Linotype" w:eastAsia="Times New Roman" w:hAnsi="Palatino Linotype" w:cs="Arial"/>
          <w:sz w:val="24"/>
          <w:szCs w:val="24"/>
        </w:rPr>
        <w:t>l</w:t>
      </w:r>
      <w:r w:rsidR="00DC11A3">
        <w:rPr>
          <w:rFonts w:ascii="Palatino Linotype" w:eastAsia="Times New Roman" w:hAnsi="Palatino Linotype" w:cs="Arial"/>
          <w:sz w:val="24"/>
          <w:szCs w:val="24"/>
        </w:rPr>
        <w:t xml:space="preserve"> </w:t>
      </w:r>
      <w:r w:rsidR="00B67CCF">
        <w:rPr>
          <w:rFonts w:ascii="Palatino Linotype" w:eastAsia="Times New Roman" w:hAnsi="Palatino Linotype" w:cs="Arial"/>
          <w:sz w:val="24"/>
          <w:szCs w:val="24"/>
        </w:rPr>
        <w:t>recurrente</w:t>
      </w:r>
      <w:r w:rsidR="004D201E">
        <w:rPr>
          <w:rFonts w:ascii="Palatino Linotype" w:eastAsia="Times New Roman" w:hAnsi="Palatino Linotype" w:cs="Arial"/>
          <w:sz w:val="24"/>
          <w:szCs w:val="24"/>
        </w:rPr>
        <w:t xml:space="preserve"> que, de “conformidad con lo establecido en el artículo 196 de la Ley de Trasparencia y Acceso a la Información Pública del Estado de México y Municipios, podrá impugnarla vía Juicio de Amparo en los términos de las leyes aplicables”</w:t>
      </w:r>
      <w:r w:rsidR="00627CAE" w:rsidRPr="0037358E">
        <w:rPr>
          <w:rFonts w:ascii="Palatino Linotype" w:hAnsi="Palatino Linotype" w:cs="Arial"/>
          <w:sz w:val="24"/>
          <w:szCs w:val="24"/>
        </w:rPr>
        <w:t xml:space="preserve">. Sobre dicho resolutivo es que me aparto </w:t>
      </w:r>
      <w:r w:rsidR="003416F2">
        <w:rPr>
          <w:rFonts w:ascii="Palatino Linotype" w:hAnsi="Palatino Linotype" w:cs="Arial"/>
          <w:sz w:val="24"/>
          <w:szCs w:val="24"/>
        </w:rPr>
        <w:t xml:space="preserve">del resto de mis compañeros comisionados integrantes del pleno, </w:t>
      </w:r>
      <w:r w:rsidR="00627CAE" w:rsidRPr="0037358E">
        <w:rPr>
          <w:rFonts w:ascii="Palatino Linotype" w:hAnsi="Palatino Linotype" w:cs="Arial"/>
          <w:sz w:val="24"/>
          <w:szCs w:val="24"/>
        </w:rPr>
        <w:t xml:space="preserve">ya que si bien esa fórmula es generalmente empleada en las resoluciones, resulta ser una decisión inadecuada para </w:t>
      </w:r>
      <w:r w:rsidR="004D201E">
        <w:rPr>
          <w:rFonts w:ascii="Palatino Linotype" w:hAnsi="Palatino Linotype" w:cs="Arial"/>
          <w:sz w:val="24"/>
          <w:szCs w:val="24"/>
        </w:rPr>
        <w:t>el presente caso en part</w:t>
      </w:r>
      <w:r w:rsidR="00C64006">
        <w:rPr>
          <w:rFonts w:ascii="Palatino Linotype" w:hAnsi="Palatino Linotype" w:cs="Arial"/>
          <w:sz w:val="24"/>
          <w:szCs w:val="24"/>
        </w:rPr>
        <w:t>icular</w:t>
      </w:r>
      <w:r w:rsidR="004D201E">
        <w:rPr>
          <w:rFonts w:ascii="Palatino Linotype" w:hAnsi="Palatino Linotype" w:cs="Arial"/>
          <w:sz w:val="24"/>
          <w:szCs w:val="24"/>
        </w:rPr>
        <w:t xml:space="preserve"> toda vez que los sindicatos como personas </w:t>
      </w:r>
      <w:r w:rsidR="00C64006">
        <w:rPr>
          <w:rFonts w:ascii="Palatino Linotype" w:hAnsi="Palatino Linotype" w:cs="Arial"/>
          <w:sz w:val="24"/>
          <w:szCs w:val="24"/>
        </w:rPr>
        <w:t xml:space="preserve">morales, </w:t>
      </w:r>
      <w:r w:rsidR="004D201E">
        <w:rPr>
          <w:rFonts w:ascii="Palatino Linotype" w:hAnsi="Palatino Linotype" w:cs="Arial"/>
          <w:sz w:val="24"/>
          <w:szCs w:val="24"/>
        </w:rPr>
        <w:t>tienen derecho a</w:t>
      </w:r>
      <w:r w:rsidR="00C64006">
        <w:rPr>
          <w:rFonts w:ascii="Palatino Linotype" w:hAnsi="Palatino Linotype" w:cs="Arial"/>
          <w:sz w:val="24"/>
          <w:szCs w:val="24"/>
        </w:rPr>
        <w:t xml:space="preserve"> la justicia. </w:t>
      </w:r>
      <w:r w:rsidR="004D201E">
        <w:rPr>
          <w:rFonts w:ascii="Palatino Linotype" w:hAnsi="Palatino Linotype" w:cs="Arial"/>
          <w:sz w:val="24"/>
          <w:szCs w:val="24"/>
        </w:rPr>
        <w:t xml:space="preserve"> </w:t>
      </w:r>
    </w:p>
    <w:p w:rsidR="00627CAE" w:rsidRPr="002E0BA4" w:rsidRDefault="00627CAE" w:rsidP="00351453">
      <w:pPr>
        <w:pStyle w:val="Prrafodelista"/>
        <w:ind w:left="0"/>
        <w:rPr>
          <w:rFonts w:ascii="Palatino Linotype" w:hAnsi="Palatino Linotype" w:cs="Arial"/>
          <w:sz w:val="24"/>
          <w:szCs w:val="24"/>
        </w:rPr>
      </w:pPr>
    </w:p>
    <w:p w:rsidR="00627CAE" w:rsidRDefault="00627CAE" w:rsidP="00351453">
      <w:pPr>
        <w:pStyle w:val="Prrafodelista"/>
        <w:numPr>
          <w:ilvl w:val="0"/>
          <w:numId w:val="1"/>
        </w:numPr>
        <w:spacing w:before="240" w:after="24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 xml:space="preserve"> Por tal motivo y en términos de lo </w:t>
      </w:r>
      <w:r>
        <w:rPr>
          <w:rFonts w:ascii="Palatino Linotype" w:hAnsi="Palatino Linotype" w:cs="Arial"/>
          <w:sz w:val="24"/>
          <w:szCs w:val="24"/>
        </w:rPr>
        <w:t xml:space="preserve">señalado en el artículo 14 fracción XI </w:t>
      </w:r>
      <w:r w:rsidRPr="0037358E">
        <w:rPr>
          <w:rFonts w:ascii="Palatino Linotype" w:hAnsi="Palatino Linotype" w:cs="Arial"/>
          <w:sz w:val="24"/>
          <w:szCs w:val="24"/>
        </w:rPr>
        <w:t xml:space="preserve">del Reglamento Interior del Instituto de Transparencia y Acceso a la Información Pública del Estado de México y Municipios formulo el presente voto particular. </w:t>
      </w:r>
    </w:p>
    <w:p w:rsidR="003416F2" w:rsidRPr="003416F2" w:rsidRDefault="003416F2" w:rsidP="00351453">
      <w:pPr>
        <w:pStyle w:val="Prrafodelista"/>
        <w:ind w:left="0"/>
        <w:rPr>
          <w:rFonts w:ascii="Palatino Linotype" w:hAnsi="Palatino Linotype" w:cs="Arial"/>
          <w:sz w:val="24"/>
          <w:szCs w:val="24"/>
        </w:rPr>
      </w:pPr>
    </w:p>
    <w:p w:rsidR="00627CAE" w:rsidRDefault="00627CAE" w:rsidP="00C65F6A">
      <w:pPr>
        <w:pStyle w:val="Ttulo1"/>
        <w:numPr>
          <w:ilvl w:val="0"/>
          <w:numId w:val="16"/>
        </w:numPr>
        <w:ind w:left="0" w:firstLine="0"/>
        <w:rPr>
          <w:rFonts w:ascii="Palatino Linotype" w:hAnsi="Palatino Linotype"/>
          <w:b/>
          <w:color w:val="auto"/>
          <w:sz w:val="24"/>
        </w:rPr>
      </w:pPr>
      <w:bookmarkStart w:id="2" w:name="_Toc1734635"/>
      <w:r w:rsidRPr="00DC11A3">
        <w:rPr>
          <w:rFonts w:ascii="Palatino Linotype" w:hAnsi="Palatino Linotype"/>
          <w:b/>
          <w:color w:val="auto"/>
          <w:sz w:val="24"/>
        </w:rPr>
        <w:t>La condición de definitividad de las resoluciones de los órganos garantes del derecho de acceso a la información pública.</w:t>
      </w:r>
      <w:bookmarkEnd w:id="2"/>
      <w:r w:rsidRPr="00DC11A3">
        <w:rPr>
          <w:rFonts w:ascii="Palatino Linotype" w:hAnsi="Palatino Linotype"/>
          <w:b/>
          <w:color w:val="auto"/>
          <w:sz w:val="24"/>
        </w:rPr>
        <w:t xml:space="preserve"> </w:t>
      </w:r>
    </w:p>
    <w:p w:rsidR="00F8011C" w:rsidRPr="00F8011C" w:rsidRDefault="00F8011C" w:rsidP="00F8011C"/>
    <w:p w:rsidR="00627CAE" w:rsidRPr="0037358E" w:rsidRDefault="00627CAE" w:rsidP="00351453">
      <w:pPr>
        <w:pStyle w:val="Prrafodelista"/>
        <w:numPr>
          <w:ilvl w:val="0"/>
          <w:numId w:val="1"/>
        </w:numPr>
        <w:spacing w:before="240" w:after="24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El séptimo párrafo de la fracción VIII del artículo sexto de la Constitución Política de los Estados Uni</w:t>
      </w:r>
      <w:r>
        <w:rPr>
          <w:rFonts w:ascii="Palatino Linotype" w:hAnsi="Palatino Linotype" w:cs="Arial"/>
          <w:sz w:val="24"/>
          <w:szCs w:val="24"/>
        </w:rPr>
        <w:t>dos Mexicanos establece que “l</w:t>
      </w:r>
      <w:r w:rsidRPr="0037358E">
        <w:rPr>
          <w:rFonts w:ascii="Palatino Linotype" w:hAnsi="Palatino Linotype" w:cs="Arial"/>
          <w:sz w:val="24"/>
          <w:szCs w:val="24"/>
        </w:rPr>
        <w:t xml:space="preserve">as resoluciones del organismo garante son vinculatorias, definitivas e inatacables para los sujetos obligados”. Lo mismo se señala en el caso del artículo quinto de la Constitución 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627CAE" w:rsidRPr="0037358E" w:rsidRDefault="00627CAE" w:rsidP="00351453">
      <w:pPr>
        <w:pStyle w:val="Prrafodelista"/>
        <w:spacing w:before="240" w:after="240" w:line="360" w:lineRule="auto"/>
        <w:ind w:left="0"/>
        <w:jc w:val="both"/>
        <w:rPr>
          <w:rFonts w:ascii="Palatino Linotype" w:hAnsi="Palatino Linotype" w:cs="Arial"/>
          <w:sz w:val="24"/>
          <w:szCs w:val="24"/>
        </w:rPr>
      </w:pPr>
    </w:p>
    <w:p w:rsidR="00627CAE" w:rsidRPr="0037358E" w:rsidRDefault="00627CAE" w:rsidP="00351453">
      <w:pPr>
        <w:pStyle w:val="Prrafodelista"/>
        <w:numPr>
          <w:ilvl w:val="0"/>
          <w:numId w:val="1"/>
        </w:numPr>
        <w:spacing w:before="240"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En otras oportunidades he señalado que esa condición de definitividad propicia que cuando las resoluciones que emitimos otorgan la razón al recurrente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decisión adoptada por órgano límite constitucional,</w:t>
      </w:r>
      <w:r w:rsidRPr="0037358E">
        <w:rPr>
          <w:rStyle w:val="Refdenotaalpie"/>
          <w:rFonts w:ascii="Palatino Linotype" w:hAnsi="Palatino Linotype" w:cs="Arial"/>
          <w:sz w:val="24"/>
          <w:szCs w:val="24"/>
        </w:rPr>
        <w:footnoteReference w:id="1"/>
      </w:r>
      <w:r w:rsidRPr="0037358E">
        <w:rPr>
          <w:rFonts w:ascii="Palatino Linotype" w:hAnsi="Palatino Linotype" w:cs="Arial"/>
          <w:sz w:val="24"/>
          <w:szCs w:val="24"/>
        </w:rPr>
        <w:t xml:space="preserve"> ya que el Sujeto Obligado no </w:t>
      </w:r>
      <w:r w:rsidRPr="0037358E">
        <w:rPr>
          <w:rFonts w:ascii="Palatino Linotype" w:hAnsi="Palatino Linotype" w:cs="Arial"/>
          <w:sz w:val="24"/>
          <w:szCs w:val="24"/>
        </w:rPr>
        <w:lastRenderedPageBreak/>
        <w:t xml:space="preserve">puede impugnar la determinación adoptada y, en consecuencia, se encuentra obligado a dar total cumplimiento a lo ordenado. </w:t>
      </w:r>
    </w:p>
    <w:p w:rsidR="00627CAE" w:rsidRPr="0037358E" w:rsidRDefault="00627CAE" w:rsidP="00351453">
      <w:pPr>
        <w:pStyle w:val="Prrafodelista"/>
        <w:ind w:left="0"/>
        <w:rPr>
          <w:rFonts w:ascii="Palatino Linotype" w:hAnsi="Palatino Linotype" w:cs="Arial"/>
          <w:sz w:val="24"/>
          <w:szCs w:val="24"/>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provocadas por alguna deficiencia en las respuestas de los sujetos obligados y por la falta de ésta, con ello, el recurso de revisión cumple con su naturaleza como la garantía secundaria que provoca la reparación del derecho afectado.  </w:t>
      </w:r>
    </w:p>
    <w:p w:rsidR="00627CAE" w:rsidRPr="00F7738C" w:rsidRDefault="00627CAE" w:rsidP="00351453">
      <w:pPr>
        <w:pStyle w:val="Prrafodelista"/>
        <w:ind w:left="0"/>
        <w:rPr>
          <w:rFonts w:ascii="Palatino Linotype" w:hAnsi="Palatino Linotype" w:cs="Arial"/>
          <w:color w:val="000000" w:themeColor="text1"/>
          <w:sz w:val="24"/>
          <w:szCs w:val="24"/>
          <w:lang w:val="es-ES"/>
        </w:rPr>
      </w:pPr>
    </w:p>
    <w:p w:rsidR="00627CAE" w:rsidRPr="00F7738C" w:rsidRDefault="00627CAE" w:rsidP="00351453">
      <w:pPr>
        <w:pStyle w:val="Prrafodelista"/>
        <w:numPr>
          <w:ilvl w:val="0"/>
          <w:numId w:val="1"/>
        </w:numPr>
        <w:spacing w:before="240" w:after="0" w:line="360" w:lineRule="auto"/>
        <w:ind w:left="0" w:firstLine="0"/>
        <w:jc w:val="both"/>
        <w:rPr>
          <w:rFonts w:ascii="Palatino Linotype" w:hAnsi="Palatino Linotype" w:cs="Arial"/>
          <w:sz w:val="24"/>
          <w:szCs w:val="24"/>
        </w:rPr>
      </w:pPr>
      <w:r w:rsidRPr="00F7738C">
        <w:rPr>
          <w:rFonts w:ascii="Palatino Linotype" w:hAnsi="Palatino Linotype" w:cs="Arial"/>
          <w:color w:val="000000" w:themeColor="text1"/>
          <w:sz w:val="24"/>
          <w:szCs w:val="24"/>
          <w:lang w:val="es-ES"/>
        </w:rPr>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627CAE" w:rsidRPr="00F7738C" w:rsidRDefault="00627CAE" w:rsidP="004D201E">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“El esquema se ciñe al marco teórico para la garantía de cualquier derecho fundamental: un sujeto con una pretensión normativamente justificada exige a un sujeto obligado (en este caso una autoridad gubernamental) que la satisfaga. En caso de incumpliendo, entonces, se activa la intervención de un órgano garante  (IFAI) que asegure la protección de derecho en cuestión. Un esquema clásico: derechos, obligaciones y garantías. </w:t>
      </w:r>
    </w:p>
    <w:p w:rsidR="00627CAE" w:rsidRPr="00F7738C" w:rsidRDefault="00627CAE" w:rsidP="004D201E">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lastRenderedPageBreak/>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627CAE" w:rsidRPr="00F7738C" w:rsidRDefault="00627CAE" w:rsidP="004D201E">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constitucionalmente de manera expresa el carácter definitivo e inatacable de sus resoluciones. </w:t>
      </w:r>
    </w:p>
    <w:p w:rsidR="00627CAE" w:rsidRPr="00F7738C" w:rsidRDefault="00627CAE" w:rsidP="00694A91">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Ahora la Constitución es clara en el sentido de que éstas tendrán un carácter vinculatorio, definitivo e inatacable, salvo en un supuesto especifico que tiene que ver con la seguridad nacional y que activa un procedimiento especial.”</w:t>
      </w:r>
      <w:r>
        <w:rPr>
          <w:rStyle w:val="Refdenotaalpie"/>
          <w:rFonts w:ascii="Palatino Linotype" w:hAnsi="Palatino Linotype" w:cs="Arial"/>
          <w:i/>
          <w:color w:val="000000" w:themeColor="text1"/>
          <w:lang w:val="es-ES"/>
        </w:rPr>
        <w:footnoteReference w:id="2"/>
      </w:r>
    </w:p>
    <w:p w:rsidR="00627CAE" w:rsidRPr="0037358E" w:rsidRDefault="00627CAE" w:rsidP="00351453">
      <w:pPr>
        <w:pStyle w:val="Prrafodelista"/>
        <w:numPr>
          <w:ilvl w:val="0"/>
          <w:numId w:val="1"/>
        </w:numPr>
        <w:spacing w:before="240" w:after="0" w:line="360" w:lineRule="auto"/>
        <w:ind w:left="0" w:firstLine="0"/>
        <w:jc w:val="both"/>
        <w:rPr>
          <w:rFonts w:ascii="Palatino Linotype" w:hAnsi="Palatino Linotype" w:cs="Arial"/>
          <w:sz w:val="24"/>
          <w:szCs w:val="24"/>
        </w:rPr>
      </w:pPr>
      <w:r w:rsidRPr="0037358E">
        <w:rPr>
          <w:rFonts w:ascii="Palatino Linotype" w:hAnsi="Palatino Linotype" w:cs="Arial"/>
          <w:sz w:val="24"/>
          <w:szCs w:val="24"/>
        </w:rPr>
        <w:t>Hasta este momento, nadie duda que ese es el efecto que la disposición constitucional y legal procura al determinar la definitividad de nuestras resoluciones en el caso de los Sujetos Obligados. Pero el caso que se resuelve en esta ocasión, nos obliga a considerar algunos elementos que demandan un especial análisis.</w:t>
      </w:r>
    </w:p>
    <w:p w:rsidR="00627CAE" w:rsidRPr="0037358E" w:rsidRDefault="00627CAE" w:rsidP="00351453">
      <w:pPr>
        <w:pStyle w:val="Prrafodelista"/>
        <w:spacing w:before="240" w:after="0" w:line="360" w:lineRule="auto"/>
        <w:ind w:left="0"/>
        <w:jc w:val="both"/>
        <w:rPr>
          <w:rFonts w:ascii="Palatino Linotype" w:hAnsi="Palatino Linotype" w:cs="Arial"/>
          <w:sz w:val="24"/>
          <w:szCs w:val="24"/>
        </w:rPr>
      </w:pPr>
    </w:p>
    <w:p w:rsidR="00351453" w:rsidRDefault="00627CAE" w:rsidP="00C65F6A">
      <w:pPr>
        <w:pStyle w:val="Ttulo1"/>
        <w:numPr>
          <w:ilvl w:val="0"/>
          <w:numId w:val="16"/>
        </w:numPr>
        <w:ind w:left="0" w:firstLine="0"/>
        <w:rPr>
          <w:rFonts w:ascii="Palatino Linotype" w:hAnsi="Palatino Linotype"/>
          <w:b/>
          <w:color w:val="auto"/>
          <w:sz w:val="24"/>
          <w:lang w:val="es-ES"/>
        </w:rPr>
      </w:pPr>
      <w:bookmarkStart w:id="3" w:name="_Toc1734636"/>
      <w:r w:rsidRPr="00DC11A3">
        <w:rPr>
          <w:rFonts w:ascii="Palatino Linotype" w:hAnsi="Palatino Linotype"/>
          <w:b/>
          <w:color w:val="auto"/>
          <w:sz w:val="24"/>
          <w:lang w:val="es-ES"/>
        </w:rPr>
        <w:lastRenderedPageBreak/>
        <w:t>La naturaleza de los Sujetos Obligados.</w:t>
      </w:r>
      <w:bookmarkEnd w:id="3"/>
    </w:p>
    <w:p w:rsidR="00F8011C" w:rsidRPr="00F8011C" w:rsidRDefault="00F8011C" w:rsidP="00F8011C">
      <w:pPr>
        <w:rPr>
          <w:lang w:val="es-ES"/>
        </w:rPr>
      </w:pPr>
    </w:p>
    <w:p w:rsidR="00351453" w:rsidRPr="00351453" w:rsidRDefault="00351453"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sz w:val="24"/>
          <w:szCs w:val="24"/>
        </w:rPr>
        <w:t>Así, con la reforma constitucional de febrero de dos mil catorce, se consideró a los Sindicatos como Sujetos Obligados, como de forma expresa lo señala la fracción I del inciso A del mismo artículo 6 de la Constitución Política de los Estados Unidos Mexicanos, dictando.</w:t>
      </w:r>
    </w:p>
    <w:p w:rsidR="00351453" w:rsidRPr="00351453" w:rsidRDefault="00351453" w:rsidP="00351453">
      <w:pPr>
        <w:spacing w:after="0" w:line="360" w:lineRule="auto"/>
        <w:jc w:val="both"/>
        <w:rPr>
          <w:rFonts w:ascii="Palatino Linotype" w:hAnsi="Palatino Linotype"/>
          <w:sz w:val="24"/>
          <w:szCs w:val="24"/>
        </w:rPr>
      </w:pPr>
    </w:p>
    <w:p w:rsidR="00351453" w:rsidRPr="00694A91" w:rsidRDefault="00351453" w:rsidP="00351453">
      <w:pPr>
        <w:spacing w:after="0" w:line="360" w:lineRule="auto"/>
        <w:ind w:left="567" w:right="616"/>
        <w:jc w:val="both"/>
        <w:rPr>
          <w:rFonts w:ascii="Palatino Linotype" w:hAnsi="Palatino Linotype"/>
          <w:i/>
          <w:szCs w:val="24"/>
        </w:rPr>
      </w:pPr>
      <w:r w:rsidRPr="00694A91">
        <w:rPr>
          <w:rFonts w:ascii="Palatino Linotype" w:hAnsi="Palatino Linotype"/>
          <w:i/>
          <w:szCs w:val="24"/>
        </w:rPr>
        <w:t>“</w:t>
      </w:r>
      <w:r w:rsidRPr="00694A91">
        <w:rPr>
          <w:rFonts w:ascii="Palatino Linotype" w:hAnsi="Palatino Linotype"/>
          <w:b/>
          <w:i/>
          <w:szCs w:val="24"/>
        </w:rPr>
        <w:t>6.</w:t>
      </w:r>
      <w:r w:rsidRPr="00694A91">
        <w:rPr>
          <w:rFonts w:ascii="Palatino Linotype" w:hAnsi="Palatino Linotype"/>
          <w:i/>
          <w:szCs w:val="24"/>
        </w:rPr>
        <w:t xml:space="preserve"> </w:t>
      </w:r>
    </w:p>
    <w:p w:rsidR="00351453" w:rsidRPr="00694A91" w:rsidRDefault="00351453" w:rsidP="00351453">
      <w:pPr>
        <w:spacing w:after="0" w:line="360" w:lineRule="auto"/>
        <w:ind w:left="567" w:right="616"/>
        <w:jc w:val="both"/>
        <w:rPr>
          <w:rFonts w:ascii="Palatino Linotype" w:hAnsi="Palatino Linotype"/>
          <w:i/>
          <w:szCs w:val="24"/>
        </w:rPr>
      </w:pPr>
      <w:r w:rsidRPr="00694A91">
        <w:rPr>
          <w:rFonts w:ascii="Palatino Linotype" w:hAnsi="Palatino Linotype"/>
          <w:i/>
          <w:szCs w:val="24"/>
        </w:rPr>
        <w:t>…</w:t>
      </w:r>
    </w:p>
    <w:p w:rsidR="00351453" w:rsidRPr="00694A91" w:rsidRDefault="00351453" w:rsidP="00351453">
      <w:pPr>
        <w:spacing w:after="0" w:line="360" w:lineRule="auto"/>
        <w:ind w:left="567" w:right="616"/>
        <w:jc w:val="both"/>
        <w:rPr>
          <w:rFonts w:ascii="Palatino Linotype" w:hAnsi="Palatino Linotype"/>
          <w:b/>
          <w:i/>
          <w:szCs w:val="24"/>
        </w:rPr>
      </w:pPr>
      <w:r w:rsidRPr="00694A91">
        <w:rPr>
          <w:rFonts w:ascii="Palatino Linotype" w:hAnsi="Palatino Linotype"/>
          <w:b/>
          <w:i/>
          <w:szCs w:val="24"/>
        </w:rPr>
        <w:t>A.</w:t>
      </w:r>
    </w:p>
    <w:p w:rsidR="00351453" w:rsidRPr="00694A91" w:rsidRDefault="00351453" w:rsidP="00351453">
      <w:pPr>
        <w:spacing w:after="0" w:line="360" w:lineRule="auto"/>
        <w:ind w:left="567" w:right="616"/>
        <w:jc w:val="both"/>
        <w:rPr>
          <w:rFonts w:ascii="Palatino Linotype" w:hAnsi="Palatino Linotype"/>
          <w:i/>
          <w:szCs w:val="24"/>
        </w:rPr>
      </w:pPr>
      <w:r w:rsidRPr="00694A91">
        <w:rPr>
          <w:rFonts w:ascii="Palatino Linotype" w:hAnsi="Palatino Linotype"/>
          <w:b/>
          <w:i/>
          <w:szCs w:val="24"/>
        </w:rPr>
        <w:t>I.</w:t>
      </w:r>
      <w:r w:rsidRPr="00694A91">
        <w:rPr>
          <w:rFonts w:ascii="Palatino Linotype" w:hAnsi="Palatino Linotype"/>
          <w:i/>
          <w:szCs w:val="24"/>
        </w:rPr>
        <w:t xml:space="preserve"> Toda la información en posesión de cualquier autoridad, entidad, órgano y organismo de los Poderes Ejecutivo, Legislativo y Judicial, órganos autónomos, partidos políticos, fideicomisos y fondos públicos, </w:t>
      </w:r>
      <w:r w:rsidRPr="00694A91">
        <w:rPr>
          <w:rFonts w:ascii="Palatino Linotype" w:hAnsi="Palatino Linotype"/>
          <w:b/>
          <w:i/>
          <w:szCs w:val="24"/>
        </w:rPr>
        <w:t>así como de cualquier persona física, moral o sindicato que reciba y ejerza recursos públicos o realice actos de autoridad en el ámbito federal, estatal y municipal</w:t>
      </w:r>
      <w:r w:rsidRPr="00694A91">
        <w:rPr>
          <w:rFonts w:ascii="Palatino Linotype" w:hAnsi="Palatino Linotype"/>
          <w:i/>
          <w:szCs w:val="24"/>
        </w:rPr>
        <w:t>,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51453" w:rsidRDefault="00351453"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Pr>
          <w:rFonts w:ascii="Palatino Linotype" w:hAnsi="Palatino Linotype" w:cs="Arial"/>
          <w:color w:val="000000" w:themeColor="text1"/>
          <w:sz w:val="24"/>
          <w:szCs w:val="24"/>
          <w:lang w:val="es-ES"/>
        </w:rPr>
        <w:t>Es decir, u</w:t>
      </w:r>
      <w:r w:rsidRPr="0037358E">
        <w:rPr>
          <w:rFonts w:ascii="Palatino Linotype" w:hAnsi="Palatino Linotype" w:cs="Arial"/>
          <w:color w:val="000000" w:themeColor="text1"/>
          <w:sz w:val="24"/>
          <w:szCs w:val="24"/>
          <w:lang w:val="es-ES"/>
        </w:rPr>
        <w:t xml:space="preserve">na de las características más importantes de la reforma constitucional de febrero de 2014 en materia de transparencia y acceso a la información consistió en la ampliación del catálogo de sujetos obligados. No sólo se </w:t>
      </w:r>
      <w:r w:rsidRPr="0037358E">
        <w:rPr>
          <w:rFonts w:ascii="Palatino Linotype" w:hAnsi="Palatino Linotype" w:cs="Arial"/>
          <w:color w:val="000000" w:themeColor="text1"/>
          <w:sz w:val="24"/>
          <w:szCs w:val="24"/>
          <w:lang w:val="es-ES"/>
        </w:rPr>
        <w:lastRenderedPageBreak/>
        <w:t>describió, con mayor detalle, las diferentes instancias de los tres órdenes de gobierno, sino que, además, se incluyeron figuras que no habían sido consideradas antes, los siempre escurridizos partidos políticos, que a pesar de sus resistencias, se encuentran más cercanos que cualquier otro sujeto obligado, a la condición de entidad pública, por su naturaleza como entidades de interés público y p</w:t>
      </w:r>
      <w:r>
        <w:rPr>
          <w:rFonts w:ascii="Palatino Linotype" w:hAnsi="Palatino Linotype" w:cs="Arial"/>
          <w:color w:val="000000" w:themeColor="text1"/>
          <w:sz w:val="24"/>
          <w:szCs w:val="24"/>
          <w:lang w:val="es-ES"/>
        </w:rPr>
        <w:t>orque sus actividades se financi</w:t>
      </w:r>
      <w:r w:rsidRPr="0037358E">
        <w:rPr>
          <w:rFonts w:ascii="Palatino Linotype" w:hAnsi="Palatino Linotype" w:cs="Arial"/>
          <w:color w:val="000000" w:themeColor="text1"/>
          <w:sz w:val="24"/>
          <w:szCs w:val="24"/>
          <w:lang w:val="es-ES"/>
        </w:rPr>
        <w:t>an mayoritariamente con recursos públicos.</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Y junto con las instituciones públicas, se reconocieron como sujetos obligados a distintas personas: las físicas y las morales, entre ellas los sindicatos, siempre y cuando reciban y ejerzan recursos públicos o realicen actos de autoridad. Y es precisamente esta condición común, la naturaleza de personas, lo que nos provoca un problema de relevancia jurídica sobre el cual este Órgano Garante se enc</w:t>
      </w:r>
      <w:r w:rsidR="00351453">
        <w:rPr>
          <w:rFonts w:ascii="Palatino Linotype" w:hAnsi="Palatino Linotype" w:cs="Arial"/>
          <w:color w:val="000000" w:themeColor="text1"/>
          <w:sz w:val="24"/>
          <w:szCs w:val="24"/>
          <w:lang w:val="es-ES"/>
        </w:rPr>
        <w:t>uentra obligado a pronunciarse.</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694A91"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 xml:space="preserve">Se tiene que persona </w:t>
      </w:r>
      <w:r w:rsidRPr="00351453">
        <w:rPr>
          <w:rFonts w:ascii="Palatino Linotype" w:hAnsi="Palatino Linotype" w:cs="Arial"/>
          <w:i/>
          <w:color w:val="000000" w:themeColor="text1"/>
          <w:sz w:val="24"/>
          <w:szCs w:val="24"/>
          <w:lang w:val="es-ES"/>
        </w:rPr>
        <w:t>es “ 1. f. Individuo de la especie humana. 2. f. Hombre o mujer cuyo nombre se ignora o se omite….”</w:t>
      </w:r>
      <w:r w:rsidRPr="00351453">
        <w:rPr>
          <w:rFonts w:ascii="Palatino Linotype" w:hAnsi="Palatino Linotype" w:cs="Arial"/>
          <w:color w:val="000000" w:themeColor="text1"/>
          <w:sz w:val="24"/>
          <w:szCs w:val="24"/>
          <w:lang w:val="es-ES"/>
        </w:rPr>
        <w:t xml:space="preserve"> mientras que por persona jurídica se ha señalado que deberá entenderse como la  </w:t>
      </w:r>
      <w:r w:rsidRPr="00351453">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351453">
        <w:rPr>
          <w:rFonts w:ascii="Palatino Linotype" w:hAnsi="Palatino Linotype" w:cs="Arial"/>
          <w:color w:val="000000" w:themeColor="text1"/>
          <w:sz w:val="24"/>
          <w:szCs w:val="24"/>
          <w:lang w:val="es-ES"/>
        </w:rPr>
        <w:t xml:space="preserve">  Frente a </w:t>
      </w:r>
      <w:r w:rsidRPr="00351453">
        <w:rPr>
          <w:rFonts w:ascii="Palatino Linotype" w:hAnsi="Palatino Linotype" w:cs="Arial"/>
          <w:color w:val="000000" w:themeColor="text1"/>
          <w:sz w:val="24"/>
          <w:szCs w:val="24"/>
          <w:lang w:val="es-ES"/>
        </w:rPr>
        <w:lastRenderedPageBreak/>
        <w:t>estas dos figuras se tiene al ente público o autoridad, que se traduce en el “</w:t>
      </w:r>
      <w:r w:rsidRPr="00351453">
        <w:rPr>
          <w:rFonts w:ascii="Palatino Linotype" w:hAnsi="Palatino Linotype" w:cs="Arial"/>
          <w:i/>
          <w:color w:val="000000" w:themeColor="text1"/>
          <w:sz w:val="24"/>
          <w:szCs w:val="24"/>
          <w:lang w:val="es-ES"/>
        </w:rPr>
        <w:t>1. f. Poder que gobierna o ejerce el mando, de hecho o de derecho.”</w:t>
      </w:r>
      <w:r w:rsidRPr="0037358E">
        <w:rPr>
          <w:rStyle w:val="Refdenotaalpie"/>
          <w:rFonts w:ascii="Palatino Linotype" w:hAnsi="Palatino Linotype" w:cs="Arial"/>
          <w:i/>
          <w:color w:val="000000" w:themeColor="text1"/>
          <w:sz w:val="24"/>
          <w:szCs w:val="24"/>
          <w:lang w:val="es-ES"/>
        </w:rPr>
        <w:footnoteReference w:id="3"/>
      </w:r>
    </w:p>
    <w:p w:rsidR="00694A91" w:rsidRPr="00351453" w:rsidRDefault="00694A91" w:rsidP="00694A91">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51453"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627CAE" w:rsidRPr="0037358E" w:rsidRDefault="00627CAE"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B67CCF" w:rsidRDefault="00627CAE" w:rsidP="00351453">
      <w:pPr>
        <w:pStyle w:val="Prrafodelista"/>
        <w:spacing w:before="240" w:after="0" w:line="360" w:lineRule="auto"/>
        <w:ind w:left="567" w:right="616"/>
        <w:jc w:val="both"/>
        <w:rPr>
          <w:rFonts w:ascii="Palatino Linotype" w:hAnsi="Palatino Linotype" w:cs="Arial"/>
          <w:i/>
          <w:color w:val="000000" w:themeColor="text1"/>
          <w:szCs w:val="24"/>
          <w:lang w:val="es-ES"/>
        </w:rPr>
      </w:pPr>
      <w:r w:rsidRPr="00694A91">
        <w:rPr>
          <w:rFonts w:ascii="Palatino Linotype" w:hAnsi="Palatino Linotype" w:cs="Arial"/>
          <w:b/>
          <w:i/>
          <w:color w:val="000000" w:themeColor="text1"/>
          <w:szCs w:val="24"/>
          <w:lang w:val="es-ES"/>
        </w:rPr>
        <w:t>PRINCIPIO DE INTERPRETACIÓN MÁS FAVORABLE A LA PERSONA. ES APLICABLE RESPECTO DE LAS NORMAS RELATIVAS A LOS DERECHOS HUMANOS DE LOS QUE SEAN TITULARES LAS PERSONAS MORALES.</w:t>
      </w:r>
      <w:r w:rsidRPr="00B67CCF">
        <w:rPr>
          <w:rFonts w:ascii="Palatino Linotype" w:hAnsi="Palatino Linotype" w:cs="Arial"/>
          <w:i/>
          <w:color w:val="000000" w:themeColor="text1"/>
          <w:szCs w:val="24"/>
          <w:lang w:val="es-ES"/>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w:t>
      </w:r>
      <w:r w:rsidRPr="00B67CCF">
        <w:rPr>
          <w:rFonts w:ascii="Palatino Linotype" w:hAnsi="Palatino Linotype" w:cs="Arial"/>
          <w:i/>
          <w:color w:val="000000" w:themeColor="text1"/>
          <w:szCs w:val="24"/>
          <w:lang w:val="es-ES"/>
        </w:rPr>
        <w:lastRenderedPageBreak/>
        <w:t xml:space="preserve">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627CAE" w:rsidRPr="00B67CCF" w:rsidRDefault="00627CAE" w:rsidP="00351453">
      <w:pPr>
        <w:pStyle w:val="Prrafodelista"/>
        <w:spacing w:before="240" w:after="0" w:line="360" w:lineRule="auto"/>
        <w:ind w:left="567" w:right="616"/>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(J). Décima Época. Pleno de la SCJN. Gaceta del Semanario Judicial de la Federación, Libro 16, Marzo de 2015, Tomo I, Tesis: P./J. 1/2015 (10a.). Página: 117.</w:t>
      </w:r>
    </w:p>
    <w:p w:rsidR="00627CAE" w:rsidRPr="0037358E" w:rsidRDefault="00627CAE"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Entre estos derechos se encuentra, sin duda, el de acceso a la justicia, reconocido en el artículo 17 del mismo ordenamiento constitucional al señalar que toda persona tiene derecho a que se le administre justicia por tribunales que estarán expeditos para impartirla en los plazos y términos que fijen las leyes. Lo que encuentra apoyo en el criterio orientador emitido por el Colegiado al señalar:</w:t>
      </w:r>
    </w:p>
    <w:p w:rsidR="00627CAE" w:rsidRPr="0037358E" w:rsidRDefault="00627CAE" w:rsidP="00351453">
      <w:pPr>
        <w:pStyle w:val="Prrafodelista"/>
        <w:spacing w:before="240" w:after="0" w:line="360" w:lineRule="auto"/>
        <w:ind w:left="567" w:right="616"/>
        <w:jc w:val="both"/>
        <w:rPr>
          <w:rFonts w:ascii="Palatino Linotype" w:hAnsi="Palatino Linotype" w:cs="Arial"/>
          <w:color w:val="000000" w:themeColor="text1"/>
          <w:sz w:val="24"/>
          <w:szCs w:val="24"/>
          <w:lang w:val="es-ES"/>
        </w:rPr>
      </w:pPr>
    </w:p>
    <w:p w:rsidR="00627CAE" w:rsidRPr="003416F2" w:rsidRDefault="00627CAE" w:rsidP="00351453">
      <w:pPr>
        <w:pStyle w:val="Prrafodelista"/>
        <w:spacing w:before="240" w:after="0" w:line="360" w:lineRule="auto"/>
        <w:ind w:left="567" w:right="616"/>
        <w:jc w:val="both"/>
        <w:rPr>
          <w:rFonts w:ascii="Palatino Linotype" w:hAnsi="Palatino Linotype" w:cs="Arial"/>
          <w:i/>
          <w:color w:val="000000" w:themeColor="text1"/>
          <w:szCs w:val="24"/>
          <w:lang w:val="es-ES"/>
        </w:rPr>
      </w:pPr>
      <w:r w:rsidRPr="00694A91">
        <w:rPr>
          <w:rFonts w:ascii="Palatino Linotype" w:hAnsi="Palatino Linotype" w:cs="Arial"/>
          <w:b/>
          <w:i/>
          <w:color w:val="000000" w:themeColor="text1"/>
          <w:szCs w:val="24"/>
          <w:lang w:val="es-ES"/>
        </w:rPr>
        <w:t>PERSONAS MORALES. SON SUSCEPTIBLES DE LA PROTECCIÓN DE LOS DERECHOS HUMANOS, AL ESTAR INTEGRADAS POR PERSONAS FÍSICAS Y POR TENER EL CARÁCTER DE PARTE EN EL JUICIO DE AMPARO.</w:t>
      </w:r>
      <w:r w:rsidRPr="003416F2">
        <w:rPr>
          <w:rFonts w:ascii="Palatino Linotype" w:hAnsi="Palatino Linotype" w:cs="Arial"/>
          <w:i/>
          <w:color w:val="000000" w:themeColor="text1"/>
          <w:szCs w:val="24"/>
          <w:lang w:val="es-ES"/>
        </w:rPr>
        <w:t xml:space="preserve"> De acuerdo con la interpretación convencional, podría considerarse que la titularidad de los derechos humanos únicamente corresponde a las personas físicas; sin </w:t>
      </w:r>
      <w:r w:rsidRPr="003416F2">
        <w:rPr>
          <w:rFonts w:ascii="Palatino Linotype" w:hAnsi="Palatino Linotype" w:cs="Arial"/>
          <w:i/>
          <w:color w:val="000000" w:themeColor="text1"/>
          <w:szCs w:val="24"/>
          <w:lang w:val="es-ES"/>
        </w:rPr>
        <w:lastRenderedPageBreak/>
        <w:t xml:space="preserve">embargo, la realidad jurídica evidencia que </w:t>
      </w:r>
      <w:r w:rsidRPr="003416F2">
        <w:rPr>
          <w:rFonts w:ascii="Palatino Linotype" w:hAnsi="Palatino Linotype" w:cs="Arial"/>
          <w:b/>
          <w:i/>
          <w:color w:val="000000" w:themeColor="text1"/>
          <w:szCs w:val="24"/>
          <w:lang w:val="es-ES"/>
        </w:rPr>
        <w:t>las personas morales o jurídicas también los adquieren, y son susceptibles de protección,</w:t>
      </w:r>
      <w:r w:rsidRPr="003416F2">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3416F2">
        <w:rPr>
          <w:rFonts w:ascii="Palatino Linotype" w:hAnsi="Palatino Linotype" w:cs="Arial"/>
          <w:b/>
          <w:i/>
          <w:color w:val="000000" w:themeColor="text1"/>
          <w:szCs w:val="24"/>
          <w:lang w:val="es-ES"/>
        </w:rPr>
        <w:t>entre los que destacan</w:t>
      </w:r>
      <w:r w:rsidRPr="003416F2">
        <w:rPr>
          <w:rFonts w:ascii="Palatino Linotype" w:hAnsi="Palatino Linotype" w:cs="Arial"/>
          <w:i/>
          <w:color w:val="000000" w:themeColor="text1"/>
          <w:szCs w:val="24"/>
          <w:lang w:val="es-ES"/>
        </w:rPr>
        <w:t xml:space="preserve"> los de propiedad, posesión, credo religioso, personalidad, </w:t>
      </w:r>
      <w:r w:rsidRPr="003416F2">
        <w:rPr>
          <w:rFonts w:ascii="Palatino Linotype" w:hAnsi="Palatino Linotype" w:cs="Arial"/>
          <w:b/>
          <w:i/>
          <w:color w:val="000000" w:themeColor="text1"/>
          <w:szCs w:val="24"/>
          <w:lang w:val="es-ES"/>
        </w:rPr>
        <w:t>acceso a la justicia,</w:t>
      </w:r>
      <w:r w:rsidRPr="003416F2">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627CAE" w:rsidRDefault="00627CAE" w:rsidP="00351453">
      <w:pPr>
        <w:pStyle w:val="Prrafodelista"/>
        <w:spacing w:before="240" w:after="0" w:line="360" w:lineRule="auto"/>
        <w:ind w:left="567" w:right="616"/>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(TA) Décima Época. Tribunales Colegiados de Circuito. Semanario Judicial de la Federación y su Gaceta, Libro XVII, Febrero de 2013, Tomo 2, Tesis: I.7o.P.1 K (10a.), Página: 1418. </w:t>
      </w:r>
    </w:p>
    <w:p w:rsidR="00694A91" w:rsidRPr="003416F2" w:rsidRDefault="00694A91" w:rsidP="00351453">
      <w:pPr>
        <w:pStyle w:val="Prrafodelista"/>
        <w:spacing w:before="240" w:after="0" w:line="360" w:lineRule="auto"/>
        <w:ind w:left="567" w:right="616"/>
        <w:jc w:val="both"/>
        <w:rPr>
          <w:rFonts w:ascii="Palatino Linotype" w:hAnsi="Palatino Linotype" w:cs="Arial"/>
          <w:i/>
          <w:color w:val="000000" w:themeColor="text1"/>
          <w:szCs w:val="24"/>
          <w:lang w:val="es-ES"/>
        </w:rPr>
      </w:pPr>
      <w:r>
        <w:rPr>
          <w:rFonts w:ascii="Palatino Linotype" w:hAnsi="Palatino Linotype" w:cs="Arial"/>
          <w:i/>
          <w:color w:val="000000" w:themeColor="text1"/>
          <w:szCs w:val="24"/>
          <w:lang w:val="es-ES"/>
        </w:rPr>
        <w:t>(Énfasis añadido)</w:t>
      </w:r>
    </w:p>
    <w:p w:rsidR="004E54FE" w:rsidRDefault="004E54FE"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4E54FE" w:rsidRDefault="004E54F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Pr>
          <w:rFonts w:ascii="Palatino Linotype" w:hAnsi="Palatino Linotype" w:cs="Arial"/>
          <w:color w:val="000000" w:themeColor="text1"/>
          <w:sz w:val="24"/>
          <w:szCs w:val="24"/>
          <w:lang w:val="es-ES"/>
        </w:rPr>
        <w:t>Atento a ello es muy importante puntualizar que</w:t>
      </w:r>
      <w:r w:rsidR="00351453">
        <w:rPr>
          <w:rFonts w:ascii="Palatino Linotype" w:hAnsi="Palatino Linotype" w:cs="Arial"/>
          <w:color w:val="000000" w:themeColor="text1"/>
          <w:sz w:val="24"/>
          <w:szCs w:val="24"/>
          <w:lang w:val="es-ES"/>
        </w:rPr>
        <w:t>,</w:t>
      </w:r>
      <w:r>
        <w:rPr>
          <w:rFonts w:ascii="Palatino Linotype" w:hAnsi="Palatino Linotype" w:cs="Arial"/>
          <w:color w:val="000000" w:themeColor="text1"/>
          <w:sz w:val="24"/>
          <w:szCs w:val="24"/>
          <w:lang w:val="es-ES"/>
        </w:rPr>
        <w:t xml:space="preserve"> si bien es cierto que la </w:t>
      </w:r>
      <w:r w:rsidRPr="0037358E">
        <w:rPr>
          <w:rFonts w:ascii="Palatino Linotype" w:hAnsi="Palatino Linotype" w:cs="Arial"/>
          <w:color w:val="000000" w:themeColor="text1"/>
          <w:sz w:val="24"/>
          <w:szCs w:val="24"/>
          <w:lang w:val="es-ES"/>
        </w:rPr>
        <w:t xml:space="preserve">reforma constitucional de febrero de 2014 </w:t>
      </w:r>
      <w:r w:rsidR="00351453">
        <w:rPr>
          <w:rFonts w:ascii="Palatino Linotype" w:hAnsi="Palatino Linotype" w:cs="Arial"/>
          <w:color w:val="000000" w:themeColor="text1"/>
          <w:sz w:val="24"/>
          <w:szCs w:val="24"/>
          <w:lang w:val="es-ES"/>
        </w:rPr>
        <w:t>el Derecho de Acceso a la Información cuenta con</w:t>
      </w:r>
      <w:r w:rsidRPr="0037358E">
        <w:rPr>
          <w:rFonts w:ascii="Palatino Linotype" w:hAnsi="Palatino Linotype" w:cs="Arial"/>
          <w:color w:val="000000" w:themeColor="text1"/>
          <w:sz w:val="24"/>
          <w:szCs w:val="24"/>
          <w:lang w:val="es-ES"/>
        </w:rPr>
        <w:t xml:space="preserve"> la ampliación del catálogo de sujetos obligados</w:t>
      </w:r>
      <w:r>
        <w:rPr>
          <w:rFonts w:ascii="Palatino Linotype" w:hAnsi="Palatino Linotype" w:cs="Arial"/>
          <w:color w:val="000000" w:themeColor="text1"/>
          <w:sz w:val="24"/>
          <w:szCs w:val="24"/>
          <w:lang w:val="es-ES"/>
        </w:rPr>
        <w:t>, también lo es que existen restricciones, toda vez que</w:t>
      </w:r>
      <w:r w:rsidR="00351453">
        <w:rPr>
          <w:rFonts w:ascii="Palatino Linotype" w:hAnsi="Palatino Linotype" w:cs="Arial"/>
          <w:color w:val="000000" w:themeColor="text1"/>
          <w:sz w:val="24"/>
          <w:szCs w:val="24"/>
          <w:lang w:val="es-ES"/>
        </w:rPr>
        <w:t xml:space="preserve"> el respeto a éste </w:t>
      </w:r>
      <w:r>
        <w:rPr>
          <w:rFonts w:ascii="Palatino Linotype" w:hAnsi="Palatino Linotype" w:cs="Arial"/>
          <w:color w:val="000000" w:themeColor="text1"/>
          <w:sz w:val="24"/>
          <w:szCs w:val="24"/>
          <w:lang w:val="es-ES"/>
        </w:rPr>
        <w:t>derecho humano tiene como limitante el respeto a los entes privados.</w:t>
      </w:r>
    </w:p>
    <w:p w:rsidR="00351453" w:rsidRP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lastRenderedPageBreak/>
        <w:t>Distinto es el caso de las instituciones públicas, las que para que puedan acudir ante otra autoridad para ejercitar algún procedimiento ordinario de defensa procurando la protección de sus intereses o de los bienes jurídicos que protegen, se requiere que el principio de reserva de ley se actualice en alguna disposición legal que le otorgue</w:t>
      </w:r>
      <w:r w:rsidR="00351453">
        <w:rPr>
          <w:rFonts w:ascii="Palatino Linotype" w:hAnsi="Palatino Linotype" w:cs="Arial"/>
          <w:color w:val="000000" w:themeColor="text1"/>
          <w:sz w:val="24"/>
          <w:szCs w:val="24"/>
          <w:lang w:val="es-ES"/>
        </w:rPr>
        <w:t xml:space="preserve"> personalidad para ejercitarlo.</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w:t>
      </w:r>
      <w:r w:rsidR="00351453">
        <w:rPr>
          <w:rFonts w:ascii="Palatino Linotype" w:hAnsi="Palatino Linotype" w:cs="Arial"/>
          <w:color w:val="000000" w:themeColor="text1"/>
          <w:sz w:val="24"/>
          <w:szCs w:val="24"/>
          <w:lang w:val="es-ES"/>
        </w:rPr>
        <w:t>de la Ley de Amparo.</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Esa disposición resulta totalmente coherente con</w:t>
      </w:r>
      <w:r w:rsidRPr="00351453">
        <w:rPr>
          <w:rFonts w:ascii="Palatino Linotype" w:hAnsi="Palatino Linotype"/>
          <w:sz w:val="24"/>
          <w:szCs w:val="24"/>
          <w:lang w:val="es-ES_tradnl" w:eastAsia="es-ES_tradnl"/>
        </w:rPr>
        <w:t xml:space="preserve"> </w:t>
      </w:r>
      <w:r w:rsidRPr="00351453">
        <w:rPr>
          <w:rFonts w:ascii="Palatino Linotype" w:hAnsi="Palatino Linotype" w:cs="Arial"/>
          <w:color w:val="000000" w:themeColor="text1"/>
          <w:sz w:val="24"/>
          <w:szCs w:val="24"/>
          <w:lang w:val="es-ES"/>
        </w:rPr>
        <w:t xml:space="preserve">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w:t>
      </w:r>
      <w:r w:rsidRPr="00351453">
        <w:rPr>
          <w:rFonts w:ascii="Palatino Linotype" w:hAnsi="Palatino Linotype" w:cs="Arial"/>
          <w:color w:val="000000" w:themeColor="text1"/>
          <w:sz w:val="24"/>
          <w:szCs w:val="24"/>
          <w:lang w:val="es-ES"/>
        </w:rPr>
        <w:lastRenderedPageBreak/>
        <w:t>públicas” con la habilitación restringida considerada en la Ley de Amparo y que excluye a la materia cuya tutela se nos ha conferido.</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órgano garante incumpliría el mandato impuesto por el párrafo tercero del artículo primero constitucional que establece la obligación a todas las autoridades de promover, respetar, proteger y garantizar los derechos humanos.</w:t>
      </w:r>
    </w:p>
    <w:p w:rsid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51453">
        <w:rPr>
          <w:rFonts w:ascii="Palatino Linotype" w:hAnsi="Palatino Linotype" w:cs="Arial"/>
          <w:color w:val="000000" w:themeColor="text1"/>
          <w:sz w:val="24"/>
          <w:szCs w:val="24"/>
          <w:lang w:val="es-ES"/>
        </w:rPr>
        <w:t>Así que frente a esta antinomia jurídica, el órgano garante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Humanos en el Caso Castañeda Gutman contra Estados Unidos Mexicanos en sus párrafos 100 y 101 que señalan:</w:t>
      </w:r>
    </w:p>
    <w:p w:rsidR="00351453" w:rsidRPr="00351453" w:rsidRDefault="00351453" w:rsidP="00351453">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A54A3E" w:rsidP="00351453">
      <w:pPr>
        <w:pStyle w:val="Prrafodelista"/>
        <w:spacing w:before="240" w:after="0" w:line="360" w:lineRule="auto"/>
        <w:ind w:left="567" w:right="616"/>
        <w:jc w:val="both"/>
        <w:rPr>
          <w:rFonts w:ascii="Palatino Linotype" w:hAnsi="Palatino Linotype" w:cs="Arial"/>
          <w:i/>
          <w:color w:val="000000" w:themeColor="text1"/>
          <w:sz w:val="24"/>
          <w:szCs w:val="24"/>
          <w:lang w:val="es-ES"/>
        </w:rPr>
      </w:pPr>
      <w:r>
        <w:rPr>
          <w:rFonts w:ascii="Palatino Linotype" w:hAnsi="Palatino Linotype" w:cs="Arial"/>
          <w:i/>
          <w:color w:val="000000" w:themeColor="text1"/>
          <w:sz w:val="24"/>
          <w:szCs w:val="24"/>
          <w:lang w:val="es-ES"/>
        </w:rPr>
        <w:t>“</w:t>
      </w:r>
      <w:r w:rsidR="00627CAE" w:rsidRPr="0037358E">
        <w:rPr>
          <w:rFonts w:ascii="Palatino Linotype" w:hAnsi="Palatino Linotype" w:cs="Arial"/>
          <w:i/>
          <w:color w:val="000000" w:themeColor="text1"/>
          <w:sz w:val="24"/>
          <w:szCs w:val="24"/>
          <w:lang w:val="es-ES"/>
        </w:rPr>
        <w:t xml:space="preserve">100. Este Tribunal considera que el sentido de la </w:t>
      </w:r>
      <w:r w:rsidRPr="0037358E">
        <w:rPr>
          <w:rFonts w:ascii="Palatino Linotype" w:hAnsi="Palatino Linotype" w:cs="Arial"/>
          <w:i/>
          <w:color w:val="000000" w:themeColor="text1"/>
          <w:sz w:val="24"/>
          <w:szCs w:val="24"/>
          <w:lang w:val="es-ES"/>
        </w:rPr>
        <w:t>protección</w:t>
      </w:r>
      <w:r w:rsidR="00627CAE" w:rsidRPr="0037358E">
        <w:rPr>
          <w:rFonts w:ascii="Palatino Linotype" w:hAnsi="Palatino Linotype" w:cs="Arial"/>
          <w:i/>
          <w:color w:val="000000" w:themeColor="text1"/>
          <w:sz w:val="24"/>
          <w:szCs w:val="24"/>
          <w:lang w:val="es-ES"/>
        </w:rPr>
        <w:t xml:space="preserve"> otorgada por el </w:t>
      </w:r>
      <w:r w:rsidRPr="0037358E">
        <w:rPr>
          <w:rFonts w:ascii="Palatino Linotype" w:hAnsi="Palatino Linotype" w:cs="Arial"/>
          <w:i/>
          <w:color w:val="000000" w:themeColor="text1"/>
          <w:sz w:val="24"/>
          <w:szCs w:val="24"/>
          <w:lang w:val="es-ES"/>
        </w:rPr>
        <w:t>artículo</w:t>
      </w:r>
      <w:r w:rsidR="00627CAE" w:rsidRPr="0037358E">
        <w:rPr>
          <w:rFonts w:ascii="Palatino Linotype" w:hAnsi="Palatino Linotype" w:cs="Arial"/>
          <w:i/>
          <w:color w:val="000000" w:themeColor="text1"/>
          <w:sz w:val="24"/>
          <w:szCs w:val="24"/>
          <w:lang w:val="es-ES"/>
        </w:rPr>
        <w:t xml:space="preserve"> 25 de la </w:t>
      </w:r>
      <w:r w:rsidRPr="0037358E">
        <w:rPr>
          <w:rFonts w:ascii="Palatino Linotype" w:hAnsi="Palatino Linotype" w:cs="Arial"/>
          <w:i/>
          <w:color w:val="000000" w:themeColor="text1"/>
          <w:sz w:val="24"/>
          <w:szCs w:val="24"/>
          <w:lang w:val="es-ES"/>
        </w:rPr>
        <w:t>Convención</w:t>
      </w:r>
      <w:r w:rsidR="00627CAE" w:rsidRPr="0037358E">
        <w:rPr>
          <w:rFonts w:ascii="Palatino Linotype" w:hAnsi="Palatino Linotype" w:cs="Arial"/>
          <w:i/>
          <w:color w:val="000000" w:themeColor="text1"/>
          <w:sz w:val="24"/>
          <w:szCs w:val="24"/>
          <w:lang w:val="es-ES"/>
        </w:rPr>
        <w:t xml:space="preserve"> es la posibilidad real de acceder a un recurso judicial para que la autoridad competente y capaz de emitir una </w:t>
      </w:r>
      <w:r w:rsidRPr="0037358E">
        <w:rPr>
          <w:rFonts w:ascii="Palatino Linotype" w:hAnsi="Palatino Linotype" w:cs="Arial"/>
          <w:i/>
          <w:color w:val="000000" w:themeColor="text1"/>
          <w:sz w:val="24"/>
          <w:szCs w:val="24"/>
          <w:lang w:val="es-ES"/>
        </w:rPr>
        <w:t>decisión</w:t>
      </w:r>
      <w:r w:rsidR="00627CAE" w:rsidRPr="0037358E">
        <w:rPr>
          <w:rFonts w:ascii="Palatino Linotype" w:hAnsi="Palatino Linotype" w:cs="Arial"/>
          <w:i/>
          <w:color w:val="000000" w:themeColor="text1"/>
          <w:sz w:val="24"/>
          <w:szCs w:val="24"/>
          <w:lang w:val="es-ES"/>
        </w:rPr>
        <w:t xml:space="preserve"> vinculante </w:t>
      </w:r>
      <w:r w:rsidR="00627CAE" w:rsidRPr="0037358E">
        <w:rPr>
          <w:rFonts w:ascii="Palatino Linotype" w:hAnsi="Palatino Linotype" w:cs="Arial"/>
          <w:i/>
          <w:color w:val="000000" w:themeColor="text1"/>
          <w:sz w:val="24"/>
          <w:szCs w:val="24"/>
          <w:lang w:val="es-ES"/>
        </w:rPr>
        <w:lastRenderedPageBreak/>
        <w:t xml:space="preserve">determine si ha habido o no una </w:t>
      </w:r>
      <w:r w:rsidRPr="0037358E">
        <w:rPr>
          <w:rFonts w:ascii="Palatino Linotype" w:hAnsi="Palatino Linotype" w:cs="Arial"/>
          <w:i/>
          <w:color w:val="000000" w:themeColor="text1"/>
          <w:sz w:val="24"/>
          <w:szCs w:val="24"/>
          <w:lang w:val="es-ES"/>
        </w:rPr>
        <w:t>violación</w:t>
      </w:r>
      <w:r w:rsidR="00627CAE" w:rsidRPr="0037358E">
        <w:rPr>
          <w:rFonts w:ascii="Palatino Linotype" w:hAnsi="Palatino Linotype" w:cs="Arial"/>
          <w:i/>
          <w:color w:val="000000" w:themeColor="text1"/>
          <w:sz w:val="24"/>
          <w:szCs w:val="24"/>
          <w:lang w:val="es-ES"/>
        </w:rPr>
        <w:t xml:space="preserve"> a </w:t>
      </w:r>
      <w:r w:rsidRPr="0037358E">
        <w:rPr>
          <w:rFonts w:ascii="Palatino Linotype" w:hAnsi="Palatino Linotype" w:cs="Arial"/>
          <w:i/>
          <w:color w:val="000000" w:themeColor="text1"/>
          <w:sz w:val="24"/>
          <w:szCs w:val="24"/>
          <w:lang w:val="es-ES"/>
        </w:rPr>
        <w:t>algún</w:t>
      </w:r>
      <w:r w:rsidR="00627CAE" w:rsidRPr="0037358E">
        <w:rPr>
          <w:rFonts w:ascii="Palatino Linotype" w:hAnsi="Palatino Linotype" w:cs="Arial"/>
          <w:i/>
          <w:color w:val="000000" w:themeColor="text1"/>
          <w:sz w:val="24"/>
          <w:szCs w:val="24"/>
          <w:lang w:val="es-ES"/>
        </w:rPr>
        <w:t xml:space="preserve"> derecho que la persona que reclama estima tener y que, en caso de ser encontrada una </w:t>
      </w:r>
      <w:r w:rsidRPr="0037358E">
        <w:rPr>
          <w:rFonts w:ascii="Palatino Linotype" w:hAnsi="Palatino Linotype" w:cs="Arial"/>
          <w:i/>
          <w:color w:val="000000" w:themeColor="text1"/>
          <w:sz w:val="24"/>
          <w:szCs w:val="24"/>
          <w:lang w:val="es-ES"/>
        </w:rPr>
        <w:t>violación</w:t>
      </w:r>
      <w:r w:rsidR="00627CAE" w:rsidRPr="0037358E">
        <w:rPr>
          <w:rFonts w:ascii="Palatino Linotype" w:hAnsi="Palatino Linotype" w:cs="Arial"/>
          <w:i/>
          <w:color w:val="000000" w:themeColor="text1"/>
          <w:sz w:val="24"/>
          <w:szCs w:val="24"/>
          <w:lang w:val="es-ES"/>
        </w:rPr>
        <w:t xml:space="preserve">, el recurso sea </w:t>
      </w:r>
      <w:r w:rsidRPr="0037358E">
        <w:rPr>
          <w:rFonts w:ascii="Palatino Linotype" w:hAnsi="Palatino Linotype" w:cs="Arial"/>
          <w:i/>
          <w:color w:val="000000" w:themeColor="text1"/>
          <w:sz w:val="24"/>
          <w:szCs w:val="24"/>
          <w:lang w:val="es-ES"/>
        </w:rPr>
        <w:t>útil</w:t>
      </w:r>
      <w:r w:rsidR="00627CAE" w:rsidRPr="0037358E">
        <w:rPr>
          <w:rFonts w:ascii="Palatino Linotype" w:hAnsi="Palatino Linotype" w:cs="Arial"/>
          <w:i/>
          <w:color w:val="000000" w:themeColor="text1"/>
          <w:sz w:val="24"/>
          <w:szCs w:val="24"/>
          <w:lang w:val="es-ES"/>
        </w:rPr>
        <w:t xml:space="preserve"> para restituir al interesado en el goce de su derecho y repararlo. </w:t>
      </w:r>
      <w:r w:rsidRPr="0037358E">
        <w:rPr>
          <w:rFonts w:ascii="Palatino Linotype" w:hAnsi="Palatino Linotype" w:cs="Arial"/>
          <w:i/>
          <w:color w:val="000000" w:themeColor="text1"/>
          <w:sz w:val="24"/>
          <w:szCs w:val="24"/>
          <w:lang w:val="es-ES"/>
        </w:rPr>
        <w:t>Seria</w:t>
      </w:r>
      <w:r w:rsidR="00627CAE" w:rsidRPr="0037358E">
        <w:rPr>
          <w:rFonts w:ascii="Palatino Linotype" w:hAnsi="Palatino Linotype" w:cs="Arial"/>
          <w:i/>
          <w:color w:val="000000" w:themeColor="text1"/>
          <w:sz w:val="24"/>
          <w:szCs w:val="24"/>
          <w:lang w:val="es-ES"/>
        </w:rPr>
        <w:t xml:space="preserve"> irrazonable establecer dicha </w:t>
      </w:r>
      <w:r w:rsidRPr="0037358E">
        <w:rPr>
          <w:rFonts w:ascii="Palatino Linotype" w:hAnsi="Palatino Linotype" w:cs="Arial"/>
          <w:i/>
          <w:color w:val="000000" w:themeColor="text1"/>
          <w:sz w:val="24"/>
          <w:szCs w:val="24"/>
          <w:lang w:val="es-ES"/>
        </w:rPr>
        <w:t>garantía</w:t>
      </w:r>
      <w:r w:rsidR="00627CAE" w:rsidRPr="0037358E">
        <w:rPr>
          <w:rFonts w:ascii="Palatino Linotype" w:hAnsi="Palatino Linotype" w:cs="Arial"/>
          <w:i/>
          <w:color w:val="000000" w:themeColor="text1"/>
          <w:sz w:val="24"/>
          <w:szCs w:val="24"/>
          <w:lang w:val="es-ES"/>
        </w:rPr>
        <w:t xml:space="preserve"> judicial si se exigiera a los justiciables saber de antemano si su </w:t>
      </w:r>
      <w:r w:rsidRPr="0037358E">
        <w:rPr>
          <w:rFonts w:ascii="Palatino Linotype" w:hAnsi="Palatino Linotype" w:cs="Arial"/>
          <w:i/>
          <w:color w:val="000000" w:themeColor="text1"/>
          <w:sz w:val="24"/>
          <w:szCs w:val="24"/>
          <w:lang w:val="es-ES"/>
        </w:rPr>
        <w:t>situación</w:t>
      </w:r>
      <w:r w:rsidR="00627CAE" w:rsidRPr="0037358E">
        <w:rPr>
          <w:rFonts w:ascii="Palatino Linotype" w:hAnsi="Palatino Linotype" w:cs="Arial"/>
          <w:i/>
          <w:color w:val="000000" w:themeColor="text1"/>
          <w:sz w:val="24"/>
          <w:szCs w:val="24"/>
          <w:lang w:val="es-ES"/>
        </w:rPr>
        <w:t xml:space="preserve"> </w:t>
      </w:r>
      <w:r w:rsidRPr="0037358E">
        <w:rPr>
          <w:rFonts w:ascii="Palatino Linotype" w:hAnsi="Palatino Linotype" w:cs="Arial"/>
          <w:i/>
          <w:color w:val="000000" w:themeColor="text1"/>
          <w:sz w:val="24"/>
          <w:szCs w:val="24"/>
          <w:lang w:val="es-ES"/>
        </w:rPr>
        <w:t>será</w:t>
      </w:r>
      <w:r w:rsidR="00627CAE" w:rsidRPr="0037358E">
        <w:rPr>
          <w:rFonts w:ascii="Palatino Linotype" w:hAnsi="Palatino Linotype" w:cs="Arial"/>
          <w:i/>
          <w:color w:val="000000" w:themeColor="text1"/>
          <w:sz w:val="24"/>
          <w:szCs w:val="24"/>
          <w:lang w:val="es-ES"/>
        </w:rPr>
        <w:t xml:space="preserve">́ estimada por el </w:t>
      </w:r>
      <w:r w:rsidRPr="0037358E">
        <w:rPr>
          <w:rFonts w:ascii="Palatino Linotype" w:hAnsi="Palatino Linotype" w:cs="Arial"/>
          <w:i/>
          <w:color w:val="000000" w:themeColor="text1"/>
          <w:sz w:val="24"/>
          <w:szCs w:val="24"/>
          <w:lang w:val="es-ES"/>
        </w:rPr>
        <w:t>órgano</w:t>
      </w:r>
      <w:r w:rsidR="00627CAE" w:rsidRPr="0037358E">
        <w:rPr>
          <w:rFonts w:ascii="Palatino Linotype" w:hAnsi="Palatino Linotype" w:cs="Arial"/>
          <w:i/>
          <w:color w:val="000000" w:themeColor="text1"/>
          <w:sz w:val="24"/>
          <w:szCs w:val="24"/>
          <w:lang w:val="es-ES"/>
        </w:rPr>
        <w:t xml:space="preserve"> judicial como amparada por un derecho </w:t>
      </w:r>
      <w:r w:rsidRPr="0037358E">
        <w:rPr>
          <w:rFonts w:ascii="Palatino Linotype" w:hAnsi="Palatino Linotype" w:cs="Arial"/>
          <w:i/>
          <w:color w:val="000000" w:themeColor="text1"/>
          <w:sz w:val="24"/>
          <w:szCs w:val="24"/>
          <w:lang w:val="es-ES"/>
        </w:rPr>
        <w:t>especifico</w:t>
      </w:r>
      <w:r w:rsidR="00627CAE" w:rsidRPr="0037358E">
        <w:rPr>
          <w:rFonts w:ascii="Palatino Linotype" w:hAnsi="Palatino Linotype" w:cs="Arial"/>
          <w:i/>
          <w:color w:val="000000" w:themeColor="text1"/>
          <w:sz w:val="24"/>
          <w:szCs w:val="24"/>
          <w:lang w:val="es-ES"/>
        </w:rPr>
        <w:t xml:space="preserve">. </w:t>
      </w:r>
    </w:p>
    <w:p w:rsidR="00627CAE" w:rsidRPr="0037358E" w:rsidRDefault="00627CAE" w:rsidP="00351453">
      <w:pPr>
        <w:pStyle w:val="Prrafodelista"/>
        <w:spacing w:before="240" w:after="0" w:line="360" w:lineRule="auto"/>
        <w:ind w:left="567" w:right="616"/>
        <w:jc w:val="both"/>
        <w:rPr>
          <w:rFonts w:ascii="Palatino Linotype" w:hAnsi="Palatino Linotype" w:cs="Arial"/>
          <w:i/>
          <w:color w:val="000000" w:themeColor="text1"/>
          <w:sz w:val="24"/>
          <w:szCs w:val="24"/>
          <w:lang w:val="es-ES"/>
        </w:rPr>
      </w:pPr>
    </w:p>
    <w:p w:rsidR="00407A2F" w:rsidRDefault="00627CAE" w:rsidP="000E1040">
      <w:pPr>
        <w:pStyle w:val="Prrafodelista"/>
        <w:spacing w:before="240" w:after="0" w:line="360" w:lineRule="auto"/>
        <w:ind w:left="567" w:right="616"/>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 xml:space="preserve">101. En </w:t>
      </w:r>
      <w:r w:rsidR="00A54A3E" w:rsidRPr="0037358E">
        <w:rPr>
          <w:rFonts w:ascii="Palatino Linotype" w:hAnsi="Palatino Linotype" w:cs="Arial"/>
          <w:i/>
          <w:color w:val="000000" w:themeColor="text1"/>
          <w:sz w:val="24"/>
          <w:szCs w:val="24"/>
          <w:lang w:val="es-ES"/>
        </w:rPr>
        <w:t>razón</w:t>
      </w:r>
      <w:r w:rsidRPr="0037358E">
        <w:rPr>
          <w:rFonts w:ascii="Palatino Linotype" w:hAnsi="Palatino Linotype" w:cs="Arial"/>
          <w:i/>
          <w:color w:val="000000" w:themeColor="text1"/>
          <w:sz w:val="24"/>
          <w:szCs w:val="24"/>
          <w:lang w:val="es-ES"/>
        </w:rPr>
        <w:t xml:space="preserve"> de lo anterior, independientemente de si la autoridad judicial declarare infundado el reclamo de la persona que interpone el recurso por no estar cubierto por la norma que invoca o no encontrare una </w:t>
      </w:r>
      <w:r w:rsidR="00A54A3E" w:rsidRPr="0037358E">
        <w:rPr>
          <w:rFonts w:ascii="Palatino Linotype" w:hAnsi="Palatino Linotype" w:cs="Arial"/>
          <w:i/>
          <w:color w:val="000000" w:themeColor="text1"/>
          <w:sz w:val="24"/>
          <w:szCs w:val="24"/>
          <w:lang w:val="es-ES"/>
        </w:rPr>
        <w:t>violación</w:t>
      </w:r>
      <w:r w:rsidRPr="0037358E">
        <w:rPr>
          <w:rFonts w:ascii="Palatino Linotype" w:hAnsi="Palatino Linotype" w:cs="Arial"/>
          <w:i/>
          <w:color w:val="000000" w:themeColor="text1"/>
          <w:sz w:val="24"/>
          <w:szCs w:val="24"/>
          <w:lang w:val="es-ES"/>
        </w:rPr>
        <w:t xml:space="preserve"> del derecho que se alega vulnerado, el Estado está obligado a proveer recursos efectivos que permitan a las personas impugnar aquellos actos de autoridad que consideren violatorios de sus derechos humanos previstos en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la </w:t>
      </w:r>
      <w:r w:rsidR="00A54A3E" w:rsidRPr="0037358E">
        <w:rPr>
          <w:rFonts w:ascii="Palatino Linotype" w:hAnsi="Palatino Linotype" w:cs="Arial"/>
          <w:i/>
          <w:color w:val="000000" w:themeColor="text1"/>
          <w:sz w:val="24"/>
          <w:szCs w:val="24"/>
          <w:lang w:val="es-ES"/>
        </w:rPr>
        <w:t>Constitución</w:t>
      </w:r>
      <w:r w:rsidRPr="0037358E">
        <w:rPr>
          <w:rFonts w:ascii="Palatino Linotype" w:hAnsi="Palatino Linotype" w:cs="Arial"/>
          <w:i/>
          <w:color w:val="000000" w:themeColor="text1"/>
          <w:sz w:val="24"/>
          <w:szCs w:val="24"/>
          <w:lang w:val="es-ES"/>
        </w:rPr>
        <w:t xml:space="preserve"> o las leyes. En efecto, el </w:t>
      </w:r>
      <w:r w:rsidR="00A54A3E" w:rsidRPr="0037358E">
        <w:rPr>
          <w:rFonts w:ascii="Palatino Linotype" w:hAnsi="Palatino Linotype" w:cs="Arial"/>
          <w:i/>
          <w:color w:val="000000" w:themeColor="text1"/>
          <w:sz w:val="24"/>
          <w:szCs w:val="24"/>
          <w:lang w:val="es-ES"/>
        </w:rPr>
        <w:t>artículo</w:t>
      </w:r>
      <w:r w:rsidRPr="0037358E">
        <w:rPr>
          <w:rFonts w:ascii="Palatino Linotype" w:hAnsi="Palatino Linotype" w:cs="Arial"/>
          <w:i/>
          <w:color w:val="000000" w:themeColor="text1"/>
          <w:sz w:val="24"/>
          <w:szCs w:val="24"/>
          <w:lang w:val="es-ES"/>
        </w:rPr>
        <w:t xml:space="preserve"> 25 de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Americana establece el derecho a la </w:t>
      </w:r>
      <w:r w:rsidR="00A54A3E" w:rsidRPr="0037358E">
        <w:rPr>
          <w:rFonts w:ascii="Palatino Linotype" w:hAnsi="Palatino Linotype" w:cs="Arial"/>
          <w:i/>
          <w:color w:val="000000" w:themeColor="text1"/>
          <w:sz w:val="24"/>
          <w:szCs w:val="24"/>
          <w:lang w:val="es-ES"/>
        </w:rPr>
        <w:t>protección</w:t>
      </w:r>
      <w:r w:rsidRPr="0037358E">
        <w:rPr>
          <w:rFonts w:ascii="Palatino Linotype" w:hAnsi="Palatino Linotype" w:cs="Arial"/>
          <w:i/>
          <w:color w:val="000000" w:themeColor="text1"/>
          <w:sz w:val="24"/>
          <w:szCs w:val="24"/>
          <w:lang w:val="es-ES"/>
        </w:rPr>
        <w:t xml:space="preserve"> judicial de los derechos consagrados por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la </w:t>
      </w:r>
      <w:r w:rsidR="00A54A3E" w:rsidRPr="0037358E">
        <w:rPr>
          <w:rFonts w:ascii="Palatino Linotype" w:hAnsi="Palatino Linotype" w:cs="Arial"/>
          <w:i/>
          <w:color w:val="000000" w:themeColor="text1"/>
          <w:sz w:val="24"/>
          <w:szCs w:val="24"/>
          <w:lang w:val="es-ES"/>
        </w:rPr>
        <w:t>Constitución</w:t>
      </w:r>
      <w:r w:rsidRPr="0037358E">
        <w:rPr>
          <w:rFonts w:ascii="Palatino Linotype" w:hAnsi="Palatino Linotype" w:cs="Arial"/>
          <w:i/>
          <w:color w:val="000000" w:themeColor="text1"/>
          <w:sz w:val="24"/>
          <w:szCs w:val="24"/>
          <w:lang w:val="es-ES"/>
        </w:rPr>
        <w:t xml:space="preserve"> o las leyes, el cual puede ser violado independientemente de que exista o no una </w:t>
      </w:r>
      <w:r w:rsidR="00A54A3E" w:rsidRPr="0037358E">
        <w:rPr>
          <w:rFonts w:ascii="Palatino Linotype" w:hAnsi="Palatino Linotype" w:cs="Arial"/>
          <w:i/>
          <w:color w:val="000000" w:themeColor="text1"/>
          <w:sz w:val="24"/>
          <w:szCs w:val="24"/>
          <w:lang w:val="es-ES"/>
        </w:rPr>
        <w:t>violación</w:t>
      </w:r>
      <w:r w:rsidRPr="0037358E">
        <w:rPr>
          <w:rFonts w:ascii="Palatino Linotype" w:hAnsi="Palatino Linotype" w:cs="Arial"/>
          <w:i/>
          <w:color w:val="000000" w:themeColor="text1"/>
          <w:sz w:val="24"/>
          <w:szCs w:val="24"/>
          <w:lang w:val="es-ES"/>
        </w:rPr>
        <w:t xml:space="preserve"> al derecho reclamado o de que la </w:t>
      </w:r>
      <w:r w:rsidR="00A54A3E" w:rsidRPr="0037358E">
        <w:rPr>
          <w:rFonts w:ascii="Palatino Linotype" w:hAnsi="Palatino Linotype" w:cs="Arial"/>
          <w:i/>
          <w:color w:val="000000" w:themeColor="text1"/>
          <w:sz w:val="24"/>
          <w:szCs w:val="24"/>
          <w:lang w:val="es-ES"/>
        </w:rPr>
        <w:t>situación</w:t>
      </w:r>
      <w:r w:rsidRPr="0037358E">
        <w:rPr>
          <w:rFonts w:ascii="Palatino Linotype" w:hAnsi="Palatino Linotype" w:cs="Arial"/>
          <w:i/>
          <w:color w:val="000000" w:themeColor="text1"/>
          <w:sz w:val="24"/>
          <w:szCs w:val="24"/>
          <w:lang w:val="es-ES"/>
        </w:rPr>
        <w:t xml:space="preserve"> que le </w:t>
      </w:r>
      <w:r w:rsidR="00A54A3E" w:rsidRPr="0037358E">
        <w:rPr>
          <w:rFonts w:ascii="Palatino Linotype" w:hAnsi="Palatino Linotype" w:cs="Arial"/>
          <w:i/>
          <w:color w:val="000000" w:themeColor="text1"/>
          <w:sz w:val="24"/>
          <w:szCs w:val="24"/>
          <w:lang w:val="es-ES"/>
        </w:rPr>
        <w:t>servía</w:t>
      </w:r>
      <w:r w:rsidRPr="0037358E">
        <w:rPr>
          <w:rFonts w:ascii="Palatino Linotype" w:hAnsi="Palatino Linotype" w:cs="Arial"/>
          <w:i/>
          <w:color w:val="000000" w:themeColor="text1"/>
          <w:sz w:val="24"/>
          <w:szCs w:val="24"/>
          <w:lang w:val="es-ES"/>
        </w:rPr>
        <w:t xml:space="preserve"> de sustento se encontraba dentro del campo de </w:t>
      </w:r>
      <w:r w:rsidR="00A54A3E" w:rsidRPr="0037358E">
        <w:rPr>
          <w:rFonts w:ascii="Palatino Linotype" w:hAnsi="Palatino Linotype" w:cs="Arial"/>
          <w:i/>
          <w:color w:val="000000" w:themeColor="text1"/>
          <w:sz w:val="24"/>
          <w:szCs w:val="24"/>
          <w:lang w:val="es-ES"/>
        </w:rPr>
        <w:t>aplicación</w:t>
      </w:r>
      <w:r w:rsidRPr="0037358E">
        <w:rPr>
          <w:rFonts w:ascii="Palatino Linotype" w:hAnsi="Palatino Linotype" w:cs="Arial"/>
          <w:i/>
          <w:color w:val="000000" w:themeColor="text1"/>
          <w:sz w:val="24"/>
          <w:szCs w:val="24"/>
          <w:lang w:val="es-ES"/>
        </w:rPr>
        <w:t xml:space="preserve"> del derecho invocado. Ello debido a que al igual que el </w:t>
      </w:r>
      <w:r w:rsidR="00A54A3E" w:rsidRPr="0037358E">
        <w:rPr>
          <w:rFonts w:ascii="Palatino Linotype" w:hAnsi="Palatino Linotype" w:cs="Arial"/>
          <w:i/>
          <w:color w:val="000000" w:themeColor="text1"/>
          <w:sz w:val="24"/>
          <w:szCs w:val="24"/>
          <w:lang w:val="es-ES"/>
        </w:rPr>
        <w:t>artículo</w:t>
      </w:r>
      <w:r w:rsidRPr="0037358E">
        <w:rPr>
          <w:rFonts w:ascii="Palatino Linotype" w:hAnsi="Palatino Linotype" w:cs="Arial"/>
          <w:i/>
          <w:color w:val="000000" w:themeColor="text1"/>
          <w:sz w:val="24"/>
          <w:szCs w:val="24"/>
          <w:lang w:val="es-ES"/>
        </w:rPr>
        <w:t xml:space="preserve"> 8, “el </w:t>
      </w:r>
      <w:r w:rsidR="00A54A3E" w:rsidRPr="0037358E">
        <w:rPr>
          <w:rFonts w:ascii="Palatino Linotype" w:hAnsi="Palatino Linotype" w:cs="Arial"/>
          <w:i/>
          <w:color w:val="000000" w:themeColor="text1"/>
          <w:sz w:val="24"/>
          <w:szCs w:val="24"/>
          <w:lang w:val="es-ES"/>
        </w:rPr>
        <w:t>artículo</w:t>
      </w:r>
      <w:r w:rsidRPr="0037358E">
        <w:rPr>
          <w:rFonts w:ascii="Palatino Linotype" w:hAnsi="Palatino Linotype" w:cs="Arial"/>
          <w:i/>
          <w:color w:val="000000" w:themeColor="text1"/>
          <w:sz w:val="24"/>
          <w:szCs w:val="24"/>
          <w:lang w:val="es-ES"/>
        </w:rPr>
        <w:t xml:space="preserve"> 25 de la </w:t>
      </w:r>
      <w:r w:rsidR="00A54A3E" w:rsidRPr="0037358E">
        <w:rPr>
          <w:rFonts w:ascii="Palatino Linotype" w:hAnsi="Palatino Linotype" w:cs="Arial"/>
          <w:i/>
          <w:color w:val="000000" w:themeColor="text1"/>
          <w:sz w:val="24"/>
          <w:szCs w:val="24"/>
          <w:lang w:val="es-ES"/>
        </w:rPr>
        <w:t>Convención</w:t>
      </w:r>
      <w:r w:rsidRPr="0037358E">
        <w:rPr>
          <w:rFonts w:ascii="Palatino Linotype" w:hAnsi="Palatino Linotype" w:cs="Arial"/>
          <w:i/>
          <w:color w:val="000000" w:themeColor="text1"/>
          <w:sz w:val="24"/>
          <w:szCs w:val="24"/>
          <w:lang w:val="es-ES"/>
        </w:rPr>
        <w:t xml:space="preserve"> </w:t>
      </w:r>
      <w:r w:rsidR="00A54A3E" w:rsidRPr="0037358E">
        <w:rPr>
          <w:rFonts w:ascii="Palatino Linotype" w:hAnsi="Palatino Linotype" w:cs="Arial"/>
          <w:i/>
          <w:color w:val="000000" w:themeColor="text1"/>
          <w:sz w:val="24"/>
          <w:szCs w:val="24"/>
          <w:lang w:val="es-ES"/>
        </w:rPr>
        <w:t>también</w:t>
      </w:r>
      <w:r w:rsidRPr="0037358E">
        <w:rPr>
          <w:rFonts w:ascii="Palatino Linotype" w:hAnsi="Palatino Linotype" w:cs="Arial"/>
          <w:i/>
          <w:color w:val="000000" w:themeColor="text1"/>
          <w:sz w:val="24"/>
          <w:szCs w:val="24"/>
          <w:lang w:val="es-ES"/>
        </w:rPr>
        <w:t xml:space="preserve"> consagra el derecho de acceso a la justicia”.</w:t>
      </w:r>
      <w:r w:rsidRPr="0037358E">
        <w:rPr>
          <w:rStyle w:val="Refdenotaalpie"/>
          <w:rFonts w:ascii="Palatino Linotype" w:hAnsi="Palatino Linotype" w:cs="Arial"/>
          <w:i/>
          <w:color w:val="000000" w:themeColor="text1"/>
          <w:sz w:val="24"/>
          <w:szCs w:val="24"/>
          <w:lang w:val="es-ES"/>
        </w:rPr>
        <w:footnoteReference w:id="4"/>
      </w:r>
    </w:p>
    <w:p w:rsidR="00A54A3E" w:rsidRPr="000E1040" w:rsidRDefault="00A54A3E" w:rsidP="000E1040">
      <w:pPr>
        <w:pStyle w:val="Prrafodelista"/>
        <w:spacing w:before="240" w:after="0" w:line="360" w:lineRule="auto"/>
        <w:ind w:left="567" w:right="616"/>
        <w:jc w:val="both"/>
        <w:rPr>
          <w:rFonts w:ascii="Palatino Linotype" w:hAnsi="Palatino Linotype" w:cs="Arial"/>
          <w:i/>
          <w:color w:val="000000" w:themeColor="text1"/>
          <w:sz w:val="24"/>
          <w:szCs w:val="24"/>
          <w:lang w:val="es-ES"/>
        </w:rPr>
      </w:pPr>
    </w:p>
    <w:p w:rsidR="00B67CCF" w:rsidRDefault="00627CAE" w:rsidP="00351453">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407A2F">
        <w:rPr>
          <w:rFonts w:ascii="Palatino Linotype" w:hAnsi="Palatino Linotype" w:cs="Arial"/>
          <w:color w:val="000000" w:themeColor="text1"/>
          <w:sz w:val="24"/>
          <w:szCs w:val="24"/>
          <w:lang w:val="es-ES"/>
        </w:rPr>
        <w:t xml:space="preserve">En este sentido  se ha considerado que: </w:t>
      </w:r>
      <w:r w:rsidRPr="00407A2F">
        <w:rPr>
          <w:rFonts w:ascii="Palatino Linotype" w:hAnsi="Palatino Linotype" w:cs="Arial"/>
          <w:i/>
          <w:color w:val="000000" w:themeColor="text1"/>
          <w:sz w:val="24"/>
          <w:szCs w:val="24"/>
          <w:lang w:val="es-ES"/>
        </w:rPr>
        <w:t>“Con la redacción constitucional queda claro que las entidades públicas, incluidos los partidos políticos que son entidades de interés público, no cuentan con recurso alguno para impugnar las resoluciones del IFAI. En todos estos casos se trata de instituciones que tienen competencias, obligaciones, facultades, pero no son titulares de derechos fundamentales. Reproduzco uno de ellos contenido en el artículo 17 constitucional: “tod</w:t>
      </w:r>
      <w:r w:rsidR="00A54A3E">
        <w:rPr>
          <w:rFonts w:ascii="Palatino Linotype" w:hAnsi="Palatino Linotype" w:cs="Arial"/>
          <w:i/>
          <w:color w:val="000000" w:themeColor="text1"/>
          <w:sz w:val="24"/>
          <w:szCs w:val="24"/>
          <w:lang w:val="es-ES"/>
        </w:rPr>
        <w:t>a persona tiene derecho a que s</w:t>
      </w:r>
      <w:r w:rsidRPr="00407A2F">
        <w:rPr>
          <w:rFonts w:ascii="Palatino Linotype" w:hAnsi="Palatino Linotype" w:cs="Arial"/>
          <w:i/>
          <w:color w:val="000000" w:themeColor="text1"/>
          <w:sz w:val="24"/>
          <w:szCs w:val="24"/>
          <w:lang w:val="es-ES"/>
        </w:rPr>
        <w:t>e</w:t>
      </w:r>
      <w:r w:rsidR="00A54A3E">
        <w:rPr>
          <w:rFonts w:ascii="Palatino Linotype" w:hAnsi="Palatino Linotype" w:cs="Arial"/>
          <w:i/>
          <w:color w:val="000000" w:themeColor="text1"/>
          <w:sz w:val="24"/>
          <w:szCs w:val="24"/>
          <w:lang w:val="es-ES"/>
        </w:rPr>
        <w:t xml:space="preserve"> </w:t>
      </w:r>
      <w:r w:rsidRPr="00407A2F">
        <w:rPr>
          <w:rFonts w:ascii="Palatino Linotype" w:hAnsi="Palatino Linotype" w:cs="Arial"/>
          <w:i/>
          <w:color w:val="000000" w:themeColor="text1"/>
          <w:sz w:val="24"/>
          <w:szCs w:val="24"/>
          <w:lang w:val="es-ES"/>
        </w:rPr>
        <w:t>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definitividad e inatacabilidad de las resoluciones del IFAI cuando los sujetos obligados, son personas físicas o morales.</w:t>
      </w:r>
      <w:r w:rsidRPr="00407A2F">
        <w:rPr>
          <w:rFonts w:ascii="Palatino Linotype" w:hAnsi="Palatino Linotype" w:cs="Arial"/>
          <w:color w:val="000000" w:themeColor="text1"/>
          <w:sz w:val="24"/>
          <w:szCs w:val="24"/>
          <w:lang w:val="es-ES"/>
        </w:rPr>
        <w:t>”</w:t>
      </w:r>
      <w:r w:rsidRPr="00407A2F">
        <w:rPr>
          <w:rStyle w:val="Refdenotaalpie"/>
          <w:rFonts w:ascii="Palatino Linotype" w:hAnsi="Palatino Linotype" w:cs="Arial"/>
          <w:color w:val="000000" w:themeColor="text1"/>
          <w:sz w:val="24"/>
          <w:szCs w:val="24"/>
          <w:lang w:val="es-ES"/>
        </w:rPr>
        <w:footnoteReference w:id="5"/>
      </w:r>
    </w:p>
    <w:p w:rsidR="00F27048" w:rsidRPr="000E1040" w:rsidRDefault="00F27048" w:rsidP="00F27048">
      <w:pPr>
        <w:pStyle w:val="Prrafodelista"/>
        <w:spacing w:before="240" w:after="0" w:line="360" w:lineRule="auto"/>
        <w:ind w:left="0"/>
        <w:jc w:val="both"/>
        <w:rPr>
          <w:rFonts w:ascii="Palatino Linotype" w:hAnsi="Palatino Linotype" w:cs="Arial"/>
          <w:color w:val="000000" w:themeColor="text1"/>
          <w:sz w:val="24"/>
          <w:szCs w:val="24"/>
          <w:lang w:val="es-ES"/>
        </w:rPr>
      </w:pPr>
    </w:p>
    <w:p w:rsidR="00B67CCF" w:rsidRDefault="00627CAE" w:rsidP="00C65F6A">
      <w:pPr>
        <w:pStyle w:val="Ttulo1"/>
        <w:numPr>
          <w:ilvl w:val="0"/>
          <w:numId w:val="16"/>
        </w:numPr>
        <w:ind w:left="0" w:firstLine="0"/>
        <w:rPr>
          <w:rFonts w:ascii="Palatino Linotype" w:hAnsi="Palatino Linotype"/>
          <w:b/>
          <w:color w:val="auto"/>
          <w:sz w:val="24"/>
          <w:lang w:val="es-ES"/>
        </w:rPr>
      </w:pPr>
      <w:bookmarkStart w:id="4" w:name="_Toc1734637"/>
      <w:r w:rsidRPr="00DC11A3">
        <w:rPr>
          <w:rFonts w:ascii="Palatino Linotype" w:hAnsi="Palatino Linotype"/>
          <w:b/>
          <w:color w:val="auto"/>
          <w:sz w:val="24"/>
          <w:lang w:val="es-ES"/>
        </w:rPr>
        <w:t>Problema y propuesta.</w:t>
      </w:r>
      <w:bookmarkEnd w:id="4"/>
    </w:p>
    <w:p w:rsidR="00F27048" w:rsidRPr="00F27048" w:rsidRDefault="00F27048" w:rsidP="00F27048">
      <w:pPr>
        <w:rPr>
          <w:lang w:val="es-ES"/>
        </w:rPr>
      </w:pPr>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Si bien la definitividad de nuestras resoluciones claramente se actualiza en el caso de las entidades públicas y de los propios partidos políticos, para el caso de las personas no públicas, existe una clara antinomia jurídica entre la regla constitucional </w:t>
      </w:r>
      <w:r w:rsidRPr="0037358E">
        <w:rPr>
          <w:rFonts w:ascii="Palatino Linotype" w:hAnsi="Palatino Linotype" w:cs="Arial"/>
          <w:color w:val="000000" w:themeColor="text1"/>
          <w:sz w:val="24"/>
          <w:szCs w:val="24"/>
          <w:lang w:val="es-ES"/>
        </w:rPr>
        <w:lastRenderedPageBreak/>
        <w:t>y legal que señala que nuestras resoluciones son definitivas e inatacables para los sujetos obligados y el derecho constitucional y conven</w:t>
      </w:r>
      <w:r w:rsidR="00753B0B">
        <w:rPr>
          <w:rFonts w:ascii="Palatino Linotype" w:hAnsi="Palatino Linotype" w:cs="Arial"/>
          <w:color w:val="000000" w:themeColor="text1"/>
          <w:sz w:val="24"/>
          <w:szCs w:val="24"/>
          <w:lang w:val="es-ES"/>
        </w:rPr>
        <w:t>cional de acceso a la justicia.</w:t>
      </w:r>
    </w:p>
    <w:p w:rsidR="00753B0B" w:rsidRDefault="00753B0B" w:rsidP="00753B0B">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Por lo que al restringirse –en nuestra propia resolución–, el derecho de acceso a la justicia del</w:t>
      </w:r>
      <w:r w:rsidR="00F27048" w:rsidRPr="00F27048">
        <w:rPr>
          <w:rFonts w:ascii="Palatino Linotype" w:eastAsia="Times New Roman" w:hAnsi="Palatino Linotype" w:cs="Times New Roman"/>
          <w:b/>
          <w:sz w:val="24"/>
          <w:szCs w:val="24"/>
          <w:lang w:val="es-ES_tradnl" w:eastAsia="es-ES"/>
        </w:rPr>
        <w:t xml:space="preserve"> </w:t>
      </w:r>
      <w:r w:rsidR="00F27048" w:rsidRPr="00F27048">
        <w:rPr>
          <w:rFonts w:ascii="Palatino Linotype" w:hAnsi="Palatino Linotype" w:cs="Arial"/>
          <w:b/>
          <w:color w:val="000000" w:themeColor="text1"/>
          <w:sz w:val="24"/>
          <w:szCs w:val="24"/>
          <w:lang w:val="es-ES_tradnl"/>
        </w:rPr>
        <w:t>Agrupación de Trabajadores Académicos al Servicio del Colegio de Estudios Científicos y Tecnológicos del Estado de México</w:t>
      </w:r>
      <w:r w:rsidRPr="00753B0B">
        <w:rPr>
          <w:rFonts w:ascii="Palatino Linotype" w:hAnsi="Palatino Linotype" w:cs="Arial"/>
          <w:color w:val="000000" w:themeColor="text1"/>
          <w:sz w:val="24"/>
          <w:szCs w:val="24"/>
          <w:lang w:val="es-ES"/>
        </w:rPr>
        <w:t>, para poder impugnar, vía amparo, nuestra decisión, podría colocarnos en una situación que afecte los derechos humanos de la persona moral.</w:t>
      </w:r>
    </w:p>
    <w:p w:rsidR="00753B0B" w:rsidRDefault="00753B0B" w:rsidP="00753B0B">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 xml:space="preserve">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definitividad de nuestras </w:t>
      </w:r>
      <w:r w:rsidR="00A54A3E">
        <w:rPr>
          <w:rFonts w:ascii="Palatino Linotype" w:hAnsi="Palatino Linotype" w:cs="Arial"/>
          <w:color w:val="000000" w:themeColor="text1"/>
          <w:sz w:val="24"/>
          <w:szCs w:val="24"/>
          <w:lang w:val="es-ES"/>
        </w:rPr>
        <w:t xml:space="preserve">resoluciones </w:t>
      </w:r>
      <w:r w:rsidRPr="00753B0B">
        <w:rPr>
          <w:rFonts w:ascii="Palatino Linotype" w:hAnsi="Palatino Linotype" w:cs="Arial"/>
          <w:color w:val="000000" w:themeColor="text1"/>
          <w:sz w:val="24"/>
          <w:szCs w:val="24"/>
          <w:lang w:val="es-ES"/>
        </w:rPr>
        <w:t>con el principio constitucional más importante en materia de derechos humanos.</w:t>
      </w:r>
    </w:p>
    <w:p w:rsidR="00753B0B" w:rsidRDefault="00753B0B" w:rsidP="00753B0B">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753B0B" w:rsidRDefault="00753B0B" w:rsidP="00753B0B">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lastRenderedPageBreak/>
        <w:t>En consecuencia, por lo que corresponde a las personas físicas y morales y a los sindicatos que reciban y ejerzan recursos públicos o realicen actos de autoridad, estas personas, así como los recurrentes, pueden impugnar nuestras resoluciones a través del juicio de amparo.</w:t>
      </w:r>
    </w:p>
    <w:p w:rsidR="00753B0B" w:rsidRDefault="00753B0B" w:rsidP="00753B0B">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 xml:space="preserve">La interpretación conforme, de la disposición sospechosa de inconstitucionalidad e inconvencionalidad,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w:t>
      </w:r>
      <w:r w:rsidRPr="00753B0B">
        <w:rPr>
          <w:rFonts w:ascii="Palatino Linotype" w:hAnsi="Palatino Linotype" w:cs="Arial"/>
          <w:color w:val="000000" w:themeColor="text1"/>
          <w:sz w:val="24"/>
          <w:szCs w:val="24"/>
          <w:lang w:val="es-ES"/>
        </w:rPr>
        <w:lastRenderedPageBreak/>
        <w:t>diferentes normas jurídicas en cuestión promoviendo el más alto estándar en la tutela de los derechos humanos.</w:t>
      </w:r>
    </w:p>
    <w:p w:rsidR="00A54A3E" w:rsidRDefault="00A54A3E" w:rsidP="00A54A3E">
      <w:pPr>
        <w:pStyle w:val="Prrafodelista"/>
        <w:spacing w:before="240" w:after="0" w:line="360" w:lineRule="auto"/>
        <w:ind w:left="0"/>
        <w:jc w:val="both"/>
        <w:rPr>
          <w:rFonts w:ascii="Palatino Linotype" w:hAnsi="Palatino Linotype" w:cs="Arial"/>
          <w:color w:val="000000" w:themeColor="text1"/>
          <w:sz w:val="24"/>
          <w:szCs w:val="24"/>
          <w:lang w:val="es-ES"/>
        </w:rPr>
      </w:pPr>
    </w:p>
    <w:p w:rsidR="00C3567A" w:rsidRPr="00753B0B" w:rsidRDefault="00C3567A" w:rsidP="00753B0B">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753B0B">
        <w:rPr>
          <w:rFonts w:ascii="Palatino Linotype" w:hAnsi="Palatino Linotype" w:cs="Arial"/>
          <w:color w:val="000000" w:themeColor="text1"/>
          <w:sz w:val="24"/>
          <w:szCs w:val="24"/>
          <w:lang w:val="es-ES"/>
        </w:rPr>
        <w:t xml:space="preserve">Es así que la Ley Federal de protección de datos personales en posesión de los particulares </w:t>
      </w:r>
      <w:r w:rsidRPr="00753B0B">
        <w:rPr>
          <w:rFonts w:ascii="Palatino Linotype" w:hAnsi="Palatino Linotype" w:cs="Arial"/>
          <w:sz w:val="24"/>
          <w:szCs w:val="24"/>
        </w:rPr>
        <w:t>establece lo siguiente</w:t>
      </w:r>
      <w:r w:rsidRPr="00753B0B">
        <w:rPr>
          <w:rFonts w:ascii="Palatino Linotype" w:hAnsi="Palatino Linotype" w:cs="Arial"/>
          <w:b/>
          <w:sz w:val="24"/>
          <w:szCs w:val="24"/>
        </w:rPr>
        <w:t>:</w:t>
      </w:r>
    </w:p>
    <w:p w:rsidR="006A7929" w:rsidRPr="004E54FE" w:rsidRDefault="006A7929" w:rsidP="00351453">
      <w:pPr>
        <w:pStyle w:val="Prrafodelista"/>
        <w:ind w:left="0"/>
        <w:rPr>
          <w:rFonts w:ascii="Palatino Linotype" w:hAnsi="Palatino Linotype" w:cs="Arial"/>
          <w:b/>
          <w:sz w:val="24"/>
          <w:szCs w:val="24"/>
        </w:rPr>
      </w:pPr>
    </w:p>
    <w:p w:rsidR="00C3567A" w:rsidRPr="004E54FE" w:rsidRDefault="00A54A3E" w:rsidP="00A54A3E">
      <w:pPr>
        <w:pStyle w:val="Prrafodelista"/>
        <w:spacing w:after="0" w:line="360" w:lineRule="auto"/>
        <w:ind w:left="567" w:right="618"/>
        <w:jc w:val="both"/>
        <w:rPr>
          <w:rFonts w:ascii="Palatino Linotype" w:eastAsia="Times New Roman" w:hAnsi="Palatino Linotype" w:cs="Times New Roman"/>
          <w:i/>
          <w:sz w:val="32"/>
          <w:szCs w:val="24"/>
          <w:lang w:eastAsia="es-MX"/>
        </w:rPr>
      </w:pPr>
      <w:r>
        <w:rPr>
          <w:rFonts w:ascii="Palatino Linotype" w:eastAsia="Times New Roman" w:hAnsi="Palatino Linotype" w:cs="Arial"/>
          <w:i/>
          <w:color w:val="222222"/>
          <w:szCs w:val="19"/>
          <w:shd w:val="clear" w:color="auto" w:fill="FFFFFF"/>
          <w:lang w:eastAsia="es-MX"/>
        </w:rPr>
        <w:t>“</w:t>
      </w:r>
      <w:r w:rsidR="00C3567A" w:rsidRPr="00A54A3E">
        <w:rPr>
          <w:rFonts w:ascii="Palatino Linotype" w:eastAsia="Times New Roman" w:hAnsi="Palatino Linotype" w:cs="Arial"/>
          <w:b/>
          <w:i/>
          <w:color w:val="222222"/>
          <w:szCs w:val="19"/>
          <w:shd w:val="clear" w:color="auto" w:fill="FFFFFF"/>
          <w:lang w:eastAsia="es-MX"/>
        </w:rPr>
        <w:t>Artículo 56.-</w:t>
      </w:r>
      <w:r w:rsidR="00C3567A" w:rsidRPr="004E54FE">
        <w:rPr>
          <w:rFonts w:ascii="Palatino Linotype" w:eastAsia="Times New Roman" w:hAnsi="Palatino Linotype" w:cs="Arial"/>
          <w:i/>
          <w:color w:val="222222"/>
          <w:szCs w:val="19"/>
          <w:shd w:val="clear" w:color="auto" w:fill="FFFFFF"/>
          <w:lang w:eastAsia="es-MX"/>
        </w:rPr>
        <w:t xml:space="preserve"> Contra las resoluciones del Instituto, los particulares podrán promover el juicio de nulidad ante el Tribunal Federal de Justicia Fiscal y Administrativa. </w:t>
      </w:r>
    </w:p>
    <w:p w:rsidR="00C3567A" w:rsidRPr="004E54FE" w:rsidRDefault="00C3567A" w:rsidP="00A54A3E">
      <w:pPr>
        <w:pStyle w:val="Prrafodelista"/>
        <w:shd w:val="clear" w:color="auto" w:fill="FFFFFF"/>
        <w:spacing w:after="0" w:line="360" w:lineRule="auto"/>
        <w:ind w:left="567" w:right="618"/>
        <w:jc w:val="both"/>
        <w:rPr>
          <w:rFonts w:ascii="Palatino Linotype" w:eastAsia="Times New Roman" w:hAnsi="Palatino Linotype" w:cs="Arial"/>
          <w:i/>
          <w:color w:val="222222"/>
          <w:szCs w:val="19"/>
          <w:lang w:eastAsia="es-MX"/>
        </w:rPr>
      </w:pPr>
    </w:p>
    <w:p w:rsidR="00C3567A" w:rsidRPr="004E54FE" w:rsidRDefault="00C3567A" w:rsidP="00A54A3E">
      <w:pPr>
        <w:pStyle w:val="Prrafodelista"/>
        <w:shd w:val="clear" w:color="auto" w:fill="FFFFFF"/>
        <w:spacing w:after="0" w:line="360" w:lineRule="auto"/>
        <w:ind w:left="567" w:right="618"/>
        <w:jc w:val="both"/>
        <w:rPr>
          <w:rFonts w:ascii="Palatino Linotype" w:eastAsia="Times New Roman" w:hAnsi="Palatino Linotype" w:cs="Arial"/>
          <w:i/>
          <w:color w:val="222222"/>
          <w:szCs w:val="19"/>
          <w:lang w:eastAsia="es-MX"/>
        </w:rPr>
      </w:pPr>
      <w:r w:rsidRPr="00A54A3E">
        <w:rPr>
          <w:rFonts w:ascii="Palatino Linotype" w:eastAsia="Times New Roman" w:hAnsi="Palatino Linotype" w:cs="Arial"/>
          <w:b/>
          <w:i/>
          <w:color w:val="222222"/>
          <w:szCs w:val="19"/>
          <w:lang w:eastAsia="es-MX"/>
        </w:rPr>
        <w:t>Artículo 57.-</w:t>
      </w:r>
      <w:r w:rsidRPr="004E54FE">
        <w:rPr>
          <w:rFonts w:ascii="Palatino Linotype" w:eastAsia="Times New Roman" w:hAnsi="Palatino Linotype" w:cs="Arial"/>
          <w:i/>
          <w:color w:val="222222"/>
          <w:szCs w:val="19"/>
          <w:lang w:eastAsia="es-MX"/>
        </w:rPr>
        <w:t xml:space="preserve"> Todas las resoluciones del Instituto serán susceptibles de difundirse públicamente en versiones públicas, eliminando aquellas referencias al titular de los datos que lo identifiquen o lo hagan identificable. </w:t>
      </w:r>
    </w:p>
    <w:p w:rsidR="00C3567A" w:rsidRPr="004E54FE" w:rsidRDefault="00C3567A" w:rsidP="00A54A3E">
      <w:pPr>
        <w:pStyle w:val="Prrafodelista"/>
        <w:shd w:val="clear" w:color="auto" w:fill="FFFFFF"/>
        <w:spacing w:after="0" w:line="360" w:lineRule="auto"/>
        <w:ind w:left="567" w:right="618"/>
        <w:jc w:val="both"/>
        <w:rPr>
          <w:rFonts w:ascii="Palatino Linotype" w:eastAsia="Times New Roman" w:hAnsi="Palatino Linotype" w:cs="Arial"/>
          <w:i/>
          <w:color w:val="222222"/>
          <w:szCs w:val="19"/>
          <w:lang w:eastAsia="es-MX"/>
        </w:rPr>
      </w:pPr>
    </w:p>
    <w:p w:rsidR="00C3567A" w:rsidRPr="004E54FE" w:rsidRDefault="00C3567A" w:rsidP="00A54A3E">
      <w:pPr>
        <w:pStyle w:val="Prrafodelista"/>
        <w:shd w:val="clear" w:color="auto" w:fill="FFFFFF"/>
        <w:spacing w:after="0" w:line="360" w:lineRule="auto"/>
        <w:ind w:left="567" w:right="618"/>
        <w:jc w:val="both"/>
        <w:rPr>
          <w:rFonts w:ascii="Palatino Linotype" w:eastAsia="Times New Roman" w:hAnsi="Palatino Linotype" w:cs="Arial"/>
          <w:i/>
          <w:color w:val="222222"/>
          <w:szCs w:val="19"/>
          <w:lang w:eastAsia="es-MX"/>
        </w:rPr>
      </w:pPr>
      <w:r w:rsidRPr="00A54A3E">
        <w:rPr>
          <w:rFonts w:ascii="Palatino Linotype" w:eastAsia="Times New Roman" w:hAnsi="Palatino Linotype" w:cs="Arial"/>
          <w:b/>
          <w:i/>
          <w:color w:val="222222"/>
          <w:szCs w:val="19"/>
          <w:lang w:eastAsia="es-MX"/>
        </w:rPr>
        <w:t xml:space="preserve">Artículo 58.- </w:t>
      </w:r>
      <w:r w:rsidRPr="004E54FE">
        <w:rPr>
          <w:rFonts w:ascii="Palatino Linotype" w:eastAsia="Times New Roman" w:hAnsi="Palatino Linotype" w:cs="Arial"/>
          <w:i/>
          <w:color w:val="222222"/>
          <w:szCs w:val="19"/>
          <w:lang w:eastAsia="es-MX"/>
        </w:rPr>
        <w:t>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disposiciones legales correspondientes.</w:t>
      </w:r>
      <w:r w:rsidR="00A54A3E">
        <w:rPr>
          <w:rFonts w:ascii="Palatino Linotype" w:eastAsia="Times New Roman" w:hAnsi="Palatino Linotype" w:cs="Arial"/>
          <w:i/>
          <w:color w:val="222222"/>
          <w:szCs w:val="19"/>
          <w:lang w:eastAsia="es-MX"/>
        </w:rPr>
        <w:t>”</w:t>
      </w:r>
    </w:p>
    <w:p w:rsidR="00C3567A" w:rsidRPr="004E54FE" w:rsidRDefault="00C3567A" w:rsidP="00351453">
      <w:pPr>
        <w:rPr>
          <w:rFonts w:ascii="Palatino Linotype" w:hAnsi="Palatino Linotype" w:cs="Arial"/>
          <w:b/>
          <w:sz w:val="24"/>
          <w:szCs w:val="24"/>
        </w:rPr>
      </w:pPr>
    </w:p>
    <w:p w:rsidR="00A54A3E" w:rsidRPr="00A54A3E" w:rsidRDefault="00C3567A" w:rsidP="00A54A3E">
      <w:pPr>
        <w:pStyle w:val="Prrafodelista"/>
        <w:numPr>
          <w:ilvl w:val="0"/>
          <w:numId w:val="1"/>
        </w:numPr>
        <w:spacing w:before="240" w:after="0" w:line="360" w:lineRule="auto"/>
        <w:ind w:left="0" w:firstLine="0"/>
        <w:jc w:val="both"/>
        <w:rPr>
          <w:rFonts w:ascii="Palatino Linotype" w:hAnsi="Palatino Linotype" w:cs="Arial"/>
          <w:sz w:val="24"/>
          <w:szCs w:val="24"/>
        </w:rPr>
      </w:pPr>
      <w:r w:rsidRPr="004E54FE">
        <w:rPr>
          <w:rFonts w:ascii="Palatino Linotype" w:hAnsi="Palatino Linotype" w:cs="Arial"/>
          <w:sz w:val="24"/>
          <w:szCs w:val="24"/>
        </w:rPr>
        <w:t xml:space="preserve">En ese sentido, se entiende que al igual que las personas físicas, </w:t>
      </w:r>
      <w:r w:rsidR="00FE31E6" w:rsidRPr="004E54FE">
        <w:rPr>
          <w:rFonts w:ascii="Palatino Linotype" w:hAnsi="Palatino Linotype" w:cs="Arial"/>
          <w:sz w:val="24"/>
          <w:szCs w:val="24"/>
        </w:rPr>
        <w:t>las personas morales, tienen el derecho</w:t>
      </w:r>
      <w:r w:rsidRPr="004E54FE">
        <w:rPr>
          <w:rFonts w:ascii="Palatino Linotype" w:hAnsi="Palatino Linotype" w:cs="Arial"/>
          <w:sz w:val="24"/>
          <w:szCs w:val="24"/>
        </w:rPr>
        <w:t xml:space="preserve"> de interponer medios de impugnación cuando l</w:t>
      </w:r>
      <w:r w:rsidR="00B55534" w:rsidRPr="004E54FE">
        <w:rPr>
          <w:rFonts w:ascii="Palatino Linotype" w:hAnsi="Palatino Linotype" w:cs="Arial"/>
          <w:sz w:val="24"/>
          <w:szCs w:val="24"/>
        </w:rPr>
        <w:t>as resoluciones les causen</w:t>
      </w:r>
      <w:r w:rsidRPr="004E54FE">
        <w:rPr>
          <w:rFonts w:ascii="Palatino Linotype" w:hAnsi="Palatino Linotype" w:cs="Arial"/>
          <w:sz w:val="24"/>
          <w:szCs w:val="24"/>
        </w:rPr>
        <w:t xml:space="preserve"> perjuicio</w:t>
      </w:r>
      <w:r w:rsidR="00B55534" w:rsidRPr="004E54FE">
        <w:rPr>
          <w:rFonts w:ascii="Palatino Linotype" w:hAnsi="Palatino Linotype" w:cs="Arial"/>
          <w:sz w:val="24"/>
          <w:szCs w:val="24"/>
        </w:rPr>
        <w:t xml:space="preserve"> alguno</w:t>
      </w:r>
      <w:r w:rsidRPr="004E54FE">
        <w:rPr>
          <w:rFonts w:ascii="Palatino Linotype" w:hAnsi="Palatino Linotype" w:cs="Arial"/>
          <w:sz w:val="24"/>
          <w:szCs w:val="24"/>
        </w:rPr>
        <w:t xml:space="preserve">, de lo contrario, dichas personas se encontrarían en un estado de vulnerabilidad, impidiéndoles </w:t>
      </w:r>
      <w:r w:rsidR="00FE31E6" w:rsidRPr="004E54FE">
        <w:rPr>
          <w:rFonts w:ascii="Palatino Linotype" w:hAnsi="Palatino Linotype" w:cs="Arial"/>
          <w:sz w:val="24"/>
          <w:szCs w:val="24"/>
        </w:rPr>
        <w:t xml:space="preserve">que </w:t>
      </w:r>
      <w:r w:rsidRPr="004E54FE">
        <w:rPr>
          <w:rFonts w:ascii="Palatino Linotype" w:hAnsi="Palatino Linotype" w:cs="Arial"/>
          <w:sz w:val="24"/>
          <w:szCs w:val="24"/>
        </w:rPr>
        <w:t>cuando con</w:t>
      </w:r>
      <w:r w:rsidR="00FE31E6" w:rsidRPr="004E54FE">
        <w:rPr>
          <w:rFonts w:ascii="Palatino Linotype" w:hAnsi="Palatino Linotype" w:cs="Arial"/>
          <w:sz w:val="24"/>
          <w:szCs w:val="24"/>
        </w:rPr>
        <w:t xml:space="preserve">sideren </w:t>
      </w:r>
      <w:r w:rsidR="00FE31E6" w:rsidRPr="004E54FE">
        <w:rPr>
          <w:rFonts w:ascii="Palatino Linotype" w:hAnsi="Palatino Linotype" w:cs="Arial"/>
          <w:sz w:val="24"/>
          <w:szCs w:val="24"/>
        </w:rPr>
        <w:lastRenderedPageBreak/>
        <w:t>que las resoluciones</w:t>
      </w:r>
      <w:r w:rsidRPr="004E54FE">
        <w:rPr>
          <w:rFonts w:ascii="Palatino Linotype" w:hAnsi="Palatino Linotype" w:cs="Arial"/>
          <w:sz w:val="24"/>
          <w:szCs w:val="24"/>
        </w:rPr>
        <w:t xml:space="preserve"> violan sus derechos, estos puedan interponer medio</w:t>
      </w:r>
      <w:r w:rsidR="00FE31E6" w:rsidRPr="004E54FE">
        <w:rPr>
          <w:rFonts w:ascii="Palatino Linotype" w:hAnsi="Palatino Linotype" w:cs="Arial"/>
          <w:sz w:val="24"/>
          <w:szCs w:val="24"/>
        </w:rPr>
        <w:t>s</w:t>
      </w:r>
      <w:r w:rsidRPr="004E54FE">
        <w:rPr>
          <w:rFonts w:ascii="Palatino Linotype" w:hAnsi="Palatino Linotype" w:cs="Arial"/>
          <w:sz w:val="24"/>
          <w:szCs w:val="24"/>
        </w:rPr>
        <w:t xml:space="preserve"> de defensa correspondiente</w:t>
      </w:r>
      <w:r w:rsidR="00FE31E6" w:rsidRPr="004E54FE">
        <w:rPr>
          <w:rFonts w:ascii="Palatino Linotype" w:hAnsi="Palatino Linotype" w:cs="Arial"/>
          <w:sz w:val="24"/>
          <w:szCs w:val="24"/>
        </w:rPr>
        <w:t>s</w:t>
      </w:r>
      <w:r w:rsidRPr="004E54FE">
        <w:rPr>
          <w:rFonts w:ascii="Palatino Linotype" w:hAnsi="Palatino Linotype" w:cs="Arial"/>
          <w:sz w:val="24"/>
          <w:szCs w:val="24"/>
        </w:rPr>
        <w:t>.</w:t>
      </w:r>
    </w:p>
    <w:p w:rsidR="00B67CCF" w:rsidRDefault="00627CAE" w:rsidP="00C65F6A">
      <w:pPr>
        <w:pStyle w:val="Ttulo1"/>
        <w:numPr>
          <w:ilvl w:val="0"/>
          <w:numId w:val="16"/>
        </w:numPr>
        <w:ind w:left="0" w:firstLine="0"/>
        <w:rPr>
          <w:rFonts w:ascii="Palatino Linotype" w:hAnsi="Palatino Linotype"/>
          <w:b/>
          <w:color w:val="auto"/>
          <w:sz w:val="24"/>
          <w:lang w:val="es-ES"/>
        </w:rPr>
      </w:pPr>
      <w:bookmarkStart w:id="5" w:name="_Toc1734638"/>
      <w:r w:rsidRPr="004E54FE">
        <w:rPr>
          <w:rFonts w:ascii="Palatino Linotype" w:hAnsi="Palatino Linotype"/>
          <w:b/>
          <w:color w:val="auto"/>
          <w:sz w:val="24"/>
          <w:lang w:val="es-ES"/>
        </w:rPr>
        <w:t>Conclusión.</w:t>
      </w:r>
      <w:bookmarkEnd w:id="5"/>
    </w:p>
    <w:p w:rsidR="00F27048" w:rsidRPr="00F27048" w:rsidRDefault="00F27048" w:rsidP="00F27048">
      <w:pPr>
        <w:rPr>
          <w:lang w:val="es-ES"/>
        </w:rPr>
      </w:pPr>
    </w:p>
    <w:p w:rsidR="00F93F7E" w:rsidRDefault="00627CAE" w:rsidP="00F93F7E">
      <w:pPr>
        <w:pStyle w:val="Prrafodelista"/>
        <w:numPr>
          <w:ilvl w:val="0"/>
          <w:numId w:val="1"/>
        </w:numPr>
        <w:spacing w:before="240" w:after="0" w:line="360" w:lineRule="auto"/>
        <w:ind w:left="0" w:firstLine="0"/>
        <w:jc w:val="both"/>
        <w:rPr>
          <w:rFonts w:ascii="Palatino Linotype" w:hAnsi="Palatino Linotype" w:cs="Arial"/>
          <w:sz w:val="24"/>
          <w:szCs w:val="24"/>
        </w:rPr>
      </w:pPr>
      <w:r w:rsidRPr="004E54FE">
        <w:rPr>
          <w:rFonts w:ascii="Palatino Linotype" w:hAnsi="Palatino Linotype" w:cs="Arial"/>
          <w:color w:val="000000" w:themeColor="text1"/>
          <w:sz w:val="24"/>
          <w:szCs w:val="24"/>
          <w:lang w:val="es-ES"/>
        </w:rPr>
        <w:t>En virtud de lo anterior</w:t>
      </w:r>
      <w:r w:rsidR="00B67CCF" w:rsidRPr="004E54FE">
        <w:rPr>
          <w:rFonts w:ascii="Palatino Linotype" w:hAnsi="Palatino Linotype" w:cs="Arial"/>
          <w:color w:val="000000" w:themeColor="text1"/>
          <w:sz w:val="24"/>
          <w:szCs w:val="24"/>
          <w:lang w:val="es-ES"/>
        </w:rPr>
        <w:t>,</w:t>
      </w:r>
      <w:r w:rsidRPr="004E54FE">
        <w:rPr>
          <w:rFonts w:ascii="Palatino Linotype" w:hAnsi="Palatino Linotype" w:cs="Arial"/>
          <w:color w:val="000000" w:themeColor="text1"/>
          <w:sz w:val="24"/>
          <w:szCs w:val="24"/>
          <w:lang w:val="es-ES"/>
        </w:rPr>
        <w:t xml:space="preserve"> es que no puedo compartir los términos aprobados del resolutivo </w:t>
      </w:r>
      <w:r w:rsidR="009627CA">
        <w:rPr>
          <w:rFonts w:ascii="Palatino Linotype" w:hAnsi="Palatino Linotype" w:cs="Arial"/>
          <w:color w:val="000000" w:themeColor="text1"/>
          <w:sz w:val="24"/>
          <w:szCs w:val="24"/>
          <w:lang w:val="es-ES"/>
        </w:rPr>
        <w:t xml:space="preserve">Cuarto </w:t>
      </w:r>
      <w:r w:rsidRPr="004E54FE">
        <w:rPr>
          <w:rFonts w:ascii="Palatino Linotype" w:hAnsi="Palatino Linotype" w:cs="Arial"/>
          <w:color w:val="000000" w:themeColor="text1"/>
          <w:sz w:val="24"/>
          <w:szCs w:val="24"/>
          <w:lang w:val="es-ES"/>
        </w:rPr>
        <w:t>ya que, desde mi punto de vista, el Sindicato también tiene derecho de acudir al juicio de</w:t>
      </w:r>
      <w:r w:rsidR="003416F2" w:rsidRPr="004E54FE">
        <w:rPr>
          <w:rFonts w:ascii="Palatino Linotype" w:hAnsi="Palatino Linotype" w:cs="Arial"/>
          <w:color w:val="000000" w:themeColor="text1"/>
          <w:sz w:val="24"/>
          <w:szCs w:val="24"/>
          <w:lang w:val="es-ES"/>
        </w:rPr>
        <w:t xml:space="preserve"> amparo si considera que la resolución emitida por el Pleno del Instituto </w:t>
      </w:r>
      <w:r w:rsidRPr="004E54FE">
        <w:rPr>
          <w:rFonts w:ascii="Palatino Linotype" w:hAnsi="Palatino Linotype" w:cs="Arial"/>
          <w:color w:val="000000" w:themeColor="text1"/>
          <w:sz w:val="24"/>
          <w:szCs w:val="24"/>
          <w:lang w:val="es-ES"/>
        </w:rPr>
        <w:t>le causa algún agravio, en virtud de que se trata de una persona moral no pública y, en esa condición, tiene el derecho de acceso a la justicia, indisponible para el Órgano Garante.</w:t>
      </w:r>
      <w:r w:rsidRPr="004E54FE">
        <w:rPr>
          <w:rFonts w:ascii="Palatino Linotype" w:hAnsi="Palatino Linotype" w:cs="Arial"/>
          <w:sz w:val="24"/>
          <w:szCs w:val="24"/>
        </w:rPr>
        <w:t xml:space="preserve"> </w:t>
      </w:r>
    </w:p>
    <w:p w:rsidR="00F93F7E" w:rsidRDefault="00F93F7E" w:rsidP="00C65F6A">
      <w:pPr>
        <w:pStyle w:val="Prrafodelista"/>
        <w:spacing w:before="240" w:after="0" w:line="360" w:lineRule="auto"/>
        <w:ind w:left="0"/>
        <w:jc w:val="both"/>
        <w:rPr>
          <w:rFonts w:ascii="Palatino Linotype" w:hAnsi="Palatino Linotype" w:cs="Arial"/>
          <w:sz w:val="24"/>
          <w:szCs w:val="24"/>
        </w:rPr>
      </w:pPr>
    </w:p>
    <w:p w:rsidR="00F93F7E" w:rsidRPr="009627CA" w:rsidRDefault="00F93F7E" w:rsidP="00C65F6A">
      <w:pPr>
        <w:pStyle w:val="Prrafodelista"/>
        <w:spacing w:before="240" w:after="0" w:line="360" w:lineRule="auto"/>
        <w:ind w:left="0"/>
        <w:jc w:val="both"/>
        <w:rPr>
          <w:rFonts w:ascii="Palatino Linotype" w:hAnsi="Palatino Linotype" w:cs="Arial"/>
          <w:sz w:val="24"/>
          <w:szCs w:val="24"/>
        </w:rPr>
      </w:pPr>
    </w:p>
    <w:p w:rsidR="00627CAE" w:rsidRPr="000C1EE1" w:rsidRDefault="00627CAE" w:rsidP="00351453">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JOSÉ GUADALUPE LUNA HERNÁNDEZ</w:t>
      </w:r>
    </w:p>
    <w:p w:rsidR="00627CAE" w:rsidRDefault="00627CAE" w:rsidP="00351453">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COMISIONADO</w:t>
      </w:r>
    </w:p>
    <w:p w:rsidR="00B75AFA" w:rsidRPr="00F93F7E" w:rsidRDefault="00B67CCF" w:rsidP="009627CA">
      <w:pPr>
        <w:spacing w:line="360" w:lineRule="auto"/>
        <w:jc w:val="right"/>
        <w:rPr>
          <w:rFonts w:ascii="Palatino Linotype" w:eastAsia="Calibri" w:hAnsi="Palatino Linotype" w:cs="Arial"/>
          <w:sz w:val="20"/>
          <w:szCs w:val="20"/>
        </w:rPr>
      </w:pPr>
      <w:r w:rsidRPr="00F93F7E">
        <w:rPr>
          <w:rFonts w:ascii="Palatino Linotype" w:eastAsia="Calibri" w:hAnsi="Palatino Linotype" w:cs="Arial"/>
          <w:b/>
          <w:sz w:val="20"/>
          <w:szCs w:val="20"/>
        </w:rPr>
        <w:t>JGLH/</w:t>
      </w:r>
      <w:r w:rsidR="009627CA" w:rsidRPr="00F93F7E">
        <w:rPr>
          <w:rFonts w:ascii="Palatino Linotype" w:eastAsia="Calibri" w:hAnsi="Palatino Linotype" w:cs="Arial"/>
          <w:b/>
          <w:sz w:val="20"/>
          <w:szCs w:val="20"/>
        </w:rPr>
        <w:t>MPBR</w:t>
      </w:r>
    </w:p>
    <w:sectPr w:rsidR="00B75AFA" w:rsidRPr="00F93F7E"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8CA" w:rsidRDefault="00D478CA" w:rsidP="00E82D3D">
      <w:pPr>
        <w:spacing w:after="0" w:line="240" w:lineRule="auto"/>
      </w:pPr>
      <w:r>
        <w:separator/>
      </w:r>
    </w:p>
  </w:endnote>
  <w:endnote w:type="continuationSeparator" w:id="0">
    <w:p w:rsidR="00D478CA" w:rsidRDefault="00D478CA"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C1EE1" w:rsidRDefault="000C1E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371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371A">
              <w:rPr>
                <w:b/>
                <w:bCs/>
                <w:noProof/>
              </w:rPr>
              <w:t>19</w:t>
            </w:r>
            <w:r>
              <w:rPr>
                <w:b/>
                <w:bCs/>
                <w:sz w:val="24"/>
                <w:szCs w:val="24"/>
              </w:rPr>
              <w:fldChar w:fldCharType="end"/>
            </w:r>
          </w:p>
        </w:sdtContent>
      </w:sdt>
    </w:sdtContent>
  </w:sdt>
  <w:p w:rsidR="000C1EE1" w:rsidRDefault="000C1EE1"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8CA" w:rsidRDefault="00D478CA" w:rsidP="00E82D3D">
      <w:pPr>
        <w:spacing w:after="0" w:line="240" w:lineRule="auto"/>
      </w:pPr>
      <w:r>
        <w:separator/>
      </w:r>
    </w:p>
  </w:footnote>
  <w:footnote w:type="continuationSeparator" w:id="0">
    <w:p w:rsidR="00D478CA" w:rsidRDefault="00D478CA" w:rsidP="00E82D3D">
      <w:pPr>
        <w:spacing w:after="0" w:line="240" w:lineRule="auto"/>
      </w:pPr>
      <w:r>
        <w:continuationSeparator/>
      </w:r>
    </w:p>
  </w:footnote>
  <w:footnote w:id="1">
    <w:p w:rsidR="00627CAE" w:rsidRPr="001D44BA" w:rsidRDefault="00627CAE" w:rsidP="00627CAE">
      <w:pPr>
        <w:pStyle w:val="Textonotapie"/>
        <w:jc w:val="both"/>
        <w:rPr>
          <w:lang w:val="es-ES"/>
        </w:rPr>
      </w:pPr>
      <w:r>
        <w:rPr>
          <w:rStyle w:val="Refdenotaalpie"/>
        </w:rPr>
        <w:footnoteRef/>
      </w:r>
      <w:r>
        <w:t xml:space="preserve"> Resolución </w:t>
      </w:r>
      <w:r w:rsidRPr="008508E5">
        <w:t>02723/INFOEM/IP/RR/2016</w:t>
      </w:r>
      <w:r>
        <w:t xml:space="preserve">, aprobada por unanimidad de votos en la </w:t>
      </w:r>
      <w:r w:rsidRPr="008508E5">
        <w:t>trigésima octava  sesión ordinaria celebrada el diecinueve (19) de octubre de dos mil dieciséis</w:t>
      </w:r>
      <w:r>
        <w:t xml:space="preserve">. Resolución </w:t>
      </w:r>
      <w:r w:rsidRPr="008508E5">
        <w:t>03118/INFOEM/IP/RR/2016</w:t>
      </w:r>
      <w:r>
        <w:t xml:space="preserve"> aprobada por unanimidad de votos en la </w:t>
      </w:r>
      <w:r w:rsidRPr="008508E5">
        <w:t>cuadragésima segunda sesión ordinaria celebrada el dieciséis (16) de noviembre de dos mil dieciséis</w:t>
      </w:r>
      <w:r>
        <w:t xml:space="preserve">. Resolución </w:t>
      </w:r>
      <w:r w:rsidRPr="000C6D26">
        <w:t>03478/INFOEM/IP/RR/2016</w:t>
      </w:r>
      <w:r>
        <w:t xml:space="preserve"> aprobada por unanimidad de votos en la Segunda sesión ordinaria celebrada el dieciocho (18) de enero de dos mil diecisiete. </w:t>
      </w:r>
    </w:p>
  </w:footnote>
  <w:footnote w:id="2">
    <w:p w:rsidR="00627CAE" w:rsidRDefault="00627CAE" w:rsidP="00627CAE">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627CAE" w:rsidRDefault="00627CAE" w:rsidP="00627CAE">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627CAE" w:rsidRPr="00236D89" w:rsidRDefault="00627CAE" w:rsidP="00627CAE">
      <w:pPr>
        <w:pStyle w:val="Textonotapie"/>
        <w:rPr>
          <w:lang w:val="es-ES"/>
        </w:rPr>
      </w:pPr>
      <w:r>
        <w:rPr>
          <w:rStyle w:val="Refdenotaalpie"/>
        </w:rPr>
        <w:footnoteRef/>
      </w:r>
      <w:r>
        <w:t xml:space="preserve"> </w:t>
      </w:r>
      <w:r>
        <w:rPr>
          <w:lang w:val="es-ES"/>
        </w:rPr>
        <w:t>Corte Interamericana de Derechos Humanos. Caso Castañega Gutman vs. México, sentencia de excepciones preliminares, fondo, reparaciones y costas, del 06 de agosto de 2008. Párrs.100 y 101.</w:t>
      </w:r>
    </w:p>
  </w:footnote>
  <w:footnote w:id="5">
    <w:p w:rsidR="00627CAE" w:rsidRDefault="00627CAE" w:rsidP="00627CAE">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D478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D478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C1EE1" w:rsidRDefault="000C1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D478C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84C"/>
    <w:multiLevelType w:val="hybridMultilevel"/>
    <w:tmpl w:val="82487AB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CB1E7B"/>
    <w:multiLevelType w:val="hybridMultilevel"/>
    <w:tmpl w:val="12D255FA"/>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663744"/>
    <w:multiLevelType w:val="hybridMultilevel"/>
    <w:tmpl w:val="CD12E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1A0571"/>
    <w:multiLevelType w:val="hybridMultilevel"/>
    <w:tmpl w:val="F7121E80"/>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370768"/>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A74265"/>
    <w:multiLevelType w:val="hybridMultilevel"/>
    <w:tmpl w:val="C3A42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0B4CEA"/>
    <w:multiLevelType w:val="hybridMultilevel"/>
    <w:tmpl w:val="EE6C3978"/>
    <w:lvl w:ilvl="0" w:tplc="463E1862">
      <w:start w:val="4"/>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2"/>
  </w:num>
  <w:num w:numId="3">
    <w:abstractNumId w:val="14"/>
  </w:num>
  <w:num w:numId="4">
    <w:abstractNumId w:val="17"/>
  </w:num>
  <w:num w:numId="5">
    <w:abstractNumId w:val="16"/>
  </w:num>
  <w:num w:numId="6">
    <w:abstractNumId w:val="5"/>
  </w:num>
  <w:num w:numId="7">
    <w:abstractNumId w:val="20"/>
  </w:num>
  <w:num w:numId="8">
    <w:abstractNumId w:val="15"/>
  </w:num>
  <w:num w:numId="9">
    <w:abstractNumId w:val="19"/>
  </w:num>
  <w:num w:numId="10">
    <w:abstractNumId w:val="11"/>
  </w:num>
  <w:num w:numId="11">
    <w:abstractNumId w:val="18"/>
  </w:num>
  <w:num w:numId="12">
    <w:abstractNumId w:val="7"/>
  </w:num>
  <w:num w:numId="13">
    <w:abstractNumId w:val="1"/>
  </w:num>
  <w:num w:numId="14">
    <w:abstractNumId w:val="4"/>
  </w:num>
  <w:num w:numId="15">
    <w:abstractNumId w:val="13"/>
  </w:num>
  <w:num w:numId="16">
    <w:abstractNumId w:val="21"/>
  </w:num>
  <w:num w:numId="17">
    <w:abstractNumId w:val="10"/>
  </w:num>
  <w:num w:numId="18">
    <w:abstractNumId w:val="3"/>
  </w:num>
  <w:num w:numId="19">
    <w:abstractNumId w:val="9"/>
  </w:num>
  <w:num w:numId="20">
    <w:abstractNumId w:val="2"/>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9550C"/>
    <w:rsid w:val="00096CC2"/>
    <w:rsid w:val="000C1EE1"/>
    <w:rsid w:val="000E1040"/>
    <w:rsid w:val="00101869"/>
    <w:rsid w:val="00102360"/>
    <w:rsid w:val="0010753A"/>
    <w:rsid w:val="001240A5"/>
    <w:rsid w:val="001369DC"/>
    <w:rsid w:val="001B19B4"/>
    <w:rsid w:val="001D64D3"/>
    <w:rsid w:val="001F7C80"/>
    <w:rsid w:val="002275B6"/>
    <w:rsid w:val="00232437"/>
    <w:rsid w:val="002E0BA4"/>
    <w:rsid w:val="002E3ED2"/>
    <w:rsid w:val="002F79FF"/>
    <w:rsid w:val="003258B6"/>
    <w:rsid w:val="0032621F"/>
    <w:rsid w:val="00337F45"/>
    <w:rsid w:val="003416F2"/>
    <w:rsid w:val="00351453"/>
    <w:rsid w:val="00365A30"/>
    <w:rsid w:val="00384DBA"/>
    <w:rsid w:val="00401E8B"/>
    <w:rsid w:val="00407A2F"/>
    <w:rsid w:val="0048628E"/>
    <w:rsid w:val="004B6A69"/>
    <w:rsid w:val="004D201E"/>
    <w:rsid w:val="004E54FE"/>
    <w:rsid w:val="0051092B"/>
    <w:rsid w:val="005556CA"/>
    <w:rsid w:val="00597FBD"/>
    <w:rsid w:val="005F30BC"/>
    <w:rsid w:val="00617ACF"/>
    <w:rsid w:val="00627CAE"/>
    <w:rsid w:val="00694A91"/>
    <w:rsid w:val="006A7929"/>
    <w:rsid w:val="006B54EE"/>
    <w:rsid w:val="006B6E4B"/>
    <w:rsid w:val="006F0A01"/>
    <w:rsid w:val="00753B0B"/>
    <w:rsid w:val="00775E57"/>
    <w:rsid w:val="00781B49"/>
    <w:rsid w:val="0079704B"/>
    <w:rsid w:val="00797A31"/>
    <w:rsid w:val="007A2AA5"/>
    <w:rsid w:val="007D037D"/>
    <w:rsid w:val="00807E40"/>
    <w:rsid w:val="0083750E"/>
    <w:rsid w:val="00861BB5"/>
    <w:rsid w:val="00865B96"/>
    <w:rsid w:val="008A4C72"/>
    <w:rsid w:val="008B3418"/>
    <w:rsid w:val="00924FD2"/>
    <w:rsid w:val="009623E8"/>
    <w:rsid w:val="009627CA"/>
    <w:rsid w:val="009A2D39"/>
    <w:rsid w:val="009E14DE"/>
    <w:rsid w:val="009F0294"/>
    <w:rsid w:val="00A16FEB"/>
    <w:rsid w:val="00A24423"/>
    <w:rsid w:val="00A54A3E"/>
    <w:rsid w:val="00A727D5"/>
    <w:rsid w:val="00B066EB"/>
    <w:rsid w:val="00B46E35"/>
    <w:rsid w:val="00B55534"/>
    <w:rsid w:val="00B57C0A"/>
    <w:rsid w:val="00B67CCF"/>
    <w:rsid w:val="00B75AFA"/>
    <w:rsid w:val="00B9285A"/>
    <w:rsid w:val="00B92C8E"/>
    <w:rsid w:val="00BB488C"/>
    <w:rsid w:val="00BB5722"/>
    <w:rsid w:val="00C3567A"/>
    <w:rsid w:val="00C64006"/>
    <w:rsid w:val="00C65912"/>
    <w:rsid w:val="00C65F6A"/>
    <w:rsid w:val="00C753D8"/>
    <w:rsid w:val="00C760CB"/>
    <w:rsid w:val="00C851A8"/>
    <w:rsid w:val="00CA2B8E"/>
    <w:rsid w:val="00CC7CC1"/>
    <w:rsid w:val="00CD46C3"/>
    <w:rsid w:val="00CF0462"/>
    <w:rsid w:val="00D1371A"/>
    <w:rsid w:val="00D478CA"/>
    <w:rsid w:val="00D704EE"/>
    <w:rsid w:val="00D84F48"/>
    <w:rsid w:val="00DC11A3"/>
    <w:rsid w:val="00DD14BB"/>
    <w:rsid w:val="00DE7A32"/>
    <w:rsid w:val="00E67163"/>
    <w:rsid w:val="00E82D3D"/>
    <w:rsid w:val="00F22581"/>
    <w:rsid w:val="00F27048"/>
    <w:rsid w:val="00F30EE8"/>
    <w:rsid w:val="00F379F0"/>
    <w:rsid w:val="00F7738C"/>
    <w:rsid w:val="00F8011C"/>
    <w:rsid w:val="00F93F7E"/>
    <w:rsid w:val="00FC605B"/>
    <w:rsid w:val="00FE3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527EE9-29C6-47AB-ABFA-EACF8E64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E"/>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table" w:styleId="Tablaconcuadrcula">
    <w:name w:val="Table Grid"/>
    <w:basedOn w:val="Tablanormal"/>
    <w:uiPriority w:val="39"/>
    <w:rsid w:val="00D7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semiHidden/>
    <w:unhideWhenUsed/>
    <w:rsid w:val="00DC11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830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284">
          <w:marLeft w:val="0"/>
          <w:marRight w:val="0"/>
          <w:marTop w:val="0"/>
          <w:marBottom w:val="0"/>
          <w:divBdr>
            <w:top w:val="none" w:sz="0" w:space="0" w:color="auto"/>
            <w:left w:val="none" w:sz="0" w:space="0" w:color="auto"/>
            <w:bottom w:val="none" w:sz="0" w:space="0" w:color="auto"/>
            <w:right w:val="none" w:sz="0" w:space="0" w:color="auto"/>
          </w:divBdr>
        </w:div>
        <w:div w:id="1822236871">
          <w:marLeft w:val="0"/>
          <w:marRight w:val="0"/>
          <w:marTop w:val="0"/>
          <w:marBottom w:val="0"/>
          <w:divBdr>
            <w:top w:val="none" w:sz="0" w:space="0" w:color="auto"/>
            <w:left w:val="none" w:sz="0" w:space="0" w:color="auto"/>
            <w:bottom w:val="none" w:sz="0" w:space="0" w:color="auto"/>
            <w:right w:val="none" w:sz="0" w:space="0" w:color="auto"/>
          </w:divBdr>
          <w:divsChild>
            <w:div w:id="937983923">
              <w:marLeft w:val="0"/>
              <w:marRight w:val="0"/>
              <w:marTop w:val="0"/>
              <w:marBottom w:val="0"/>
              <w:divBdr>
                <w:top w:val="none" w:sz="0" w:space="0" w:color="auto"/>
                <w:left w:val="none" w:sz="0" w:space="0" w:color="auto"/>
                <w:bottom w:val="none" w:sz="0" w:space="0" w:color="auto"/>
                <w:right w:val="none" w:sz="0" w:space="0" w:color="auto"/>
              </w:divBdr>
            </w:div>
            <w:div w:id="808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CADD0-7C66-48FA-863D-9A1A7A06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3937</Words>
  <Characters>21654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 INFOEM</cp:lastModifiedBy>
  <cp:revision>2</cp:revision>
  <cp:lastPrinted>2019-02-22T19:49:00Z</cp:lastPrinted>
  <dcterms:created xsi:type="dcterms:W3CDTF">2019-03-20T23:38:00Z</dcterms:created>
  <dcterms:modified xsi:type="dcterms:W3CDTF">2019-03-20T23:38:00Z</dcterms:modified>
</cp:coreProperties>
</file>